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16" w:rsidRPr="00E257AB" w:rsidRDefault="00BC7116" w:rsidP="00E257AB">
      <w:pPr>
        <w:pStyle w:val="a3"/>
        <w:spacing w:line="240" w:lineRule="exact"/>
        <w:jc w:val="center"/>
        <w:rPr>
          <w:rFonts w:ascii="微软雅黑" w:eastAsia="微软雅黑" w:hAnsi="微软雅黑" w:cs="Times New Roman"/>
          <w:sz w:val="22"/>
          <w:szCs w:val="22"/>
        </w:rPr>
      </w:pPr>
    </w:p>
    <w:p w:rsidR="00BC7116" w:rsidRPr="00AD1274" w:rsidRDefault="00112D50" w:rsidP="00E257AB">
      <w:pPr>
        <w:pStyle w:val="a3"/>
        <w:spacing w:line="500" w:lineRule="exact"/>
        <w:jc w:val="center"/>
        <w:rPr>
          <w:rFonts w:ascii="微软雅黑" w:eastAsia="微软雅黑" w:hAnsi="微软雅黑" w:cs="Times New Roman"/>
          <w:b/>
          <w:color w:val="C00000"/>
          <w:sz w:val="40"/>
          <w:szCs w:val="40"/>
        </w:rPr>
      </w:pPr>
      <w:r w:rsidRPr="00AD1274">
        <w:rPr>
          <w:rFonts w:ascii="微软雅黑" w:eastAsia="微软雅黑" w:hAnsi="微软雅黑" w:cs="Times New Roman"/>
          <w:b/>
          <w:color w:val="C00000"/>
          <w:sz w:val="40"/>
          <w:szCs w:val="40"/>
        </w:rPr>
        <w:t>工商行政管理所条例</w:t>
      </w:r>
    </w:p>
    <w:p w:rsidR="00BC7116" w:rsidRPr="00E257AB" w:rsidRDefault="00BC7116" w:rsidP="00E257AB">
      <w:pPr>
        <w:pStyle w:val="a3"/>
        <w:spacing w:line="240" w:lineRule="exact"/>
        <w:ind w:firstLineChars="200" w:firstLine="440"/>
        <w:rPr>
          <w:rFonts w:ascii="微软雅黑" w:eastAsia="微软雅黑" w:hAnsi="微软雅黑" w:cs="Times New Roman"/>
          <w:sz w:val="22"/>
          <w:szCs w:val="22"/>
        </w:rPr>
      </w:pPr>
    </w:p>
    <w:p w:rsidR="00BC7116" w:rsidRPr="00E257AB" w:rsidRDefault="00112D50" w:rsidP="00E257AB">
      <w:pPr>
        <w:pStyle w:val="a3"/>
        <w:spacing w:line="240" w:lineRule="exact"/>
        <w:ind w:firstLineChars="200" w:firstLine="420"/>
        <w:rPr>
          <w:rFonts w:ascii="微软雅黑" w:eastAsia="微软雅黑" w:hAnsi="微软雅黑" w:cs="楷体_GB2312"/>
        </w:rPr>
      </w:pPr>
      <w:r w:rsidRPr="00E257AB">
        <w:rPr>
          <w:rFonts w:ascii="微软雅黑" w:eastAsia="微软雅黑" w:hAnsi="微软雅黑" w:cs="楷体_GB2312" w:hint="eastAsia"/>
        </w:rPr>
        <w:t>(1991</w:t>
      </w:r>
      <w:r w:rsidRPr="00E257AB">
        <w:rPr>
          <w:rFonts w:ascii="微软雅黑" w:eastAsia="微软雅黑" w:hAnsi="微软雅黑" w:cs="楷体_GB2312" w:hint="eastAsia"/>
        </w:rPr>
        <w:t>年</w:t>
      </w:r>
      <w:r w:rsidRPr="00E257AB">
        <w:rPr>
          <w:rFonts w:ascii="微软雅黑" w:eastAsia="微软雅黑" w:hAnsi="微软雅黑" w:cs="楷体_GB2312" w:hint="eastAsia"/>
        </w:rPr>
        <w:t>4</w:t>
      </w:r>
      <w:r w:rsidRPr="00E257AB">
        <w:rPr>
          <w:rFonts w:ascii="微软雅黑" w:eastAsia="微软雅黑" w:hAnsi="微软雅黑" w:cs="楷体_GB2312" w:hint="eastAsia"/>
        </w:rPr>
        <w:t>月</w:t>
      </w:r>
      <w:r w:rsidRPr="00E257AB">
        <w:rPr>
          <w:rFonts w:ascii="微软雅黑" w:eastAsia="微软雅黑" w:hAnsi="微软雅黑" w:cs="楷体_GB2312" w:hint="eastAsia"/>
        </w:rPr>
        <w:t>1</w:t>
      </w:r>
      <w:r w:rsidRPr="00E257AB">
        <w:rPr>
          <w:rFonts w:ascii="微软雅黑" w:eastAsia="微软雅黑" w:hAnsi="微软雅黑" w:cs="楷体_GB2312" w:hint="eastAsia"/>
        </w:rPr>
        <w:t xml:space="preserve">日国务院批准　</w:t>
      </w:r>
      <w:r w:rsidRPr="00E257AB">
        <w:rPr>
          <w:rFonts w:ascii="微软雅黑" w:eastAsia="微软雅黑" w:hAnsi="微软雅黑" w:cs="楷体_GB2312" w:hint="eastAsia"/>
        </w:rPr>
        <w:t>1991</w:t>
      </w:r>
      <w:r w:rsidRPr="00E257AB">
        <w:rPr>
          <w:rFonts w:ascii="微软雅黑" w:eastAsia="微软雅黑" w:hAnsi="微软雅黑" w:cs="楷体_GB2312" w:hint="eastAsia"/>
        </w:rPr>
        <w:t>年</w:t>
      </w:r>
      <w:r w:rsidRPr="00E257AB">
        <w:rPr>
          <w:rFonts w:ascii="微软雅黑" w:eastAsia="微软雅黑" w:hAnsi="微软雅黑" w:cs="楷体_GB2312" w:hint="eastAsia"/>
        </w:rPr>
        <w:t>4</w:t>
      </w:r>
      <w:r w:rsidRPr="00E257AB">
        <w:rPr>
          <w:rFonts w:ascii="微软雅黑" w:eastAsia="微软雅黑" w:hAnsi="微软雅黑" w:cs="楷体_GB2312" w:hint="eastAsia"/>
        </w:rPr>
        <w:t>月</w:t>
      </w:r>
      <w:r w:rsidRPr="00E257AB">
        <w:rPr>
          <w:rFonts w:ascii="微软雅黑" w:eastAsia="微软雅黑" w:hAnsi="微软雅黑" w:cs="楷体_GB2312" w:hint="eastAsia"/>
        </w:rPr>
        <w:t>22</w:t>
      </w:r>
      <w:r w:rsidRPr="00E257AB">
        <w:rPr>
          <w:rFonts w:ascii="微软雅黑" w:eastAsia="微软雅黑" w:hAnsi="微软雅黑" w:cs="楷体_GB2312" w:hint="eastAsia"/>
        </w:rPr>
        <w:t>日国家工商行政管理局令第</w:t>
      </w:r>
      <w:r w:rsidRPr="00E257AB">
        <w:rPr>
          <w:rFonts w:ascii="微软雅黑" w:eastAsia="微软雅黑" w:hAnsi="微软雅黑" w:cs="楷体_GB2312" w:hint="eastAsia"/>
        </w:rPr>
        <w:t>6</w:t>
      </w:r>
      <w:r w:rsidRPr="00E257AB">
        <w:rPr>
          <w:rFonts w:ascii="微软雅黑" w:eastAsia="微软雅黑" w:hAnsi="微软雅黑" w:cs="楷体_GB2312" w:hint="eastAsia"/>
        </w:rPr>
        <w:t>号发布</w:t>
      </w:r>
      <w:r w:rsidRPr="00E257AB">
        <w:rPr>
          <w:rFonts w:ascii="微软雅黑" w:eastAsia="微软雅黑" w:hAnsi="微软雅黑" w:cs="楷体_GB2312" w:hint="eastAsia"/>
        </w:rPr>
        <w:t xml:space="preserve">  </w:t>
      </w:r>
      <w:r w:rsidRPr="00E257AB">
        <w:rPr>
          <w:rFonts w:ascii="微软雅黑" w:eastAsia="微软雅黑" w:hAnsi="微软雅黑" w:cs="楷体_GB2312" w:hint="eastAsia"/>
        </w:rPr>
        <w:t>自发布之日起施行</w:t>
      </w:r>
      <w:r w:rsidRPr="00E257AB">
        <w:rPr>
          <w:rFonts w:ascii="微软雅黑" w:eastAsia="微软雅黑" w:hAnsi="微软雅黑" w:cs="楷体_GB2312" w:hint="eastAsia"/>
        </w:rPr>
        <w:t>)</w:t>
      </w:r>
    </w:p>
    <w:p w:rsidR="00BC7116" w:rsidRPr="00E257AB" w:rsidRDefault="00BC7116" w:rsidP="00E257AB">
      <w:pPr>
        <w:pStyle w:val="a3"/>
        <w:spacing w:line="260" w:lineRule="exact"/>
        <w:ind w:firstLineChars="200" w:firstLine="440"/>
        <w:rPr>
          <w:rFonts w:ascii="微软雅黑" w:eastAsia="微软雅黑" w:hAnsi="微软雅黑" w:cs="Times New Roman"/>
          <w:sz w:val="22"/>
          <w:szCs w:val="22"/>
        </w:rPr>
      </w:pP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第一条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为了加强工商行政管理所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以下简称工商所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的组织建设，使工商所工作规范化、制度</w:t>
      </w:r>
      <w:bookmarkStart w:id="0" w:name="_GoBack"/>
      <w:bookmarkEnd w:id="0"/>
      <w:r w:rsidRPr="00E257AB">
        <w:rPr>
          <w:rFonts w:ascii="微软雅黑" w:eastAsia="微软雅黑" w:hAnsi="微软雅黑" w:cs="Times New Roman" w:hint="eastAsia"/>
          <w:sz w:val="22"/>
          <w:szCs w:val="22"/>
        </w:rPr>
        <w:t>化，更好地发挥工商行政管理的职能作用，制定本条例。</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第二条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工商所是区、县</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含县级市，下同</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工商行政管理局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以下简称区、县工商局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的派出机构。工商所的人员编制、经费开支、干部管理和业务工作等由区、县工商局直接领导和管理。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第三条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工商所的基本任务是：依据法律、法规的规定，对辖区内的企业、个体工商户和市场经济活动进行监督管理，保护合法经营，取缔非法经营，维护正常的经济秩序。</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第四条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工商所按经济区域设立。</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工商所的设立，由区、县工商局根据辖区大小、经济发展情况和管理任务需要，提出具体方案，报区、县人民政府批准。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第五条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工商所设所长一人；任务较多的，设副所长一至二人；</w:t>
      </w:r>
      <w:r w:rsidRPr="00E257AB">
        <w:rPr>
          <w:rFonts w:ascii="微软雅黑" w:eastAsia="微软雅黑" w:hAnsi="微软雅黑" w:cs="Times New Roman" w:hint="eastAsia"/>
          <w:sz w:val="22"/>
          <w:szCs w:val="22"/>
        </w:rPr>
        <w:t>工作人员若干人。</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工商所实行所长负责制。</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第六条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工商所的职责包括：</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办理辖区内由区、县工商局登记管理的企业的登记初审和年检、换照的审查手续，并对区、县工商局核准登记的企业进行监督管理；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二</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管理辖区内的集贸市场，监督集市贸易经济活动；</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三</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监督检查辖区内经济合同的订立及履行，调解经济合同纠纷；</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四</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受理、初审、呈报辖区内个体工商户的开业、变更、歇业的申请事项，对个体工商户的生产经营活动进行监督管理；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五</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指导辖区内企业事业单位、个体工商户正确申请商标注册，并对其使用商标进行监督管理；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六</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对辖区内设置、张贴的广告进行监督管理；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七</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按规定收取、上缴各项工商收费及罚没款物；</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八</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宣传工商行政管理法律、法规和有关政策；</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九</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法律、法规规定的其他工商行政管理职责。</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第七条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工商所的具体工作范围，由区、县工商局依照工商行政管理的有关法律、法规和规章的规定，根据辖区内管理工作的实际需要，在前条所列职责范围内予以确定，并报上一级工商行政管理机关备案。</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第八条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工商所的具体行政行为是区、县工商局的具体行政行为，但有下列情况之一的，工商所可以以自己的名义作出具体行政行为：</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对个体工商户违法行为的处罚；</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二</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对集市贸易中违法行为的处罚；</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三</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法律、法规和规章规定工商所以自己的名义作出的其他具体行政行为。</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前款第</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一</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二</w:t>
      </w:r>
      <w:r w:rsidRPr="00E257AB">
        <w:rPr>
          <w:rFonts w:ascii="微软雅黑" w:eastAsia="微软雅黑" w:hAnsi="微软雅黑" w:cs="Times New Roman" w:hint="eastAsia"/>
          <w:sz w:val="22"/>
          <w:szCs w:val="22"/>
        </w:rPr>
        <w:t>)</w:t>
      </w:r>
      <w:r w:rsidRPr="00E257AB">
        <w:rPr>
          <w:rFonts w:ascii="微软雅黑" w:eastAsia="微软雅黑" w:hAnsi="微软雅黑" w:cs="Times New Roman" w:hint="eastAsia"/>
          <w:sz w:val="22"/>
          <w:szCs w:val="22"/>
        </w:rPr>
        <w:t>项处罚不包括吊销营业执照。</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第九条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工商所应当建立健全监督管理和行政执法的工作程序，公开办事制度和办事结果，接受群众监督，做到公正严明，管理有章，处罚有据，廉洁奉公。</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工商所应当建立健全岗位责任制，对工作人员的德、能、勤、绩进行定期考核，并将考核情况作为任职、奖励、晋升的主要依据。</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第十一条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工商所应当建立健全财务管理和监督制度，配备专职财</w:t>
      </w:r>
      <w:r w:rsidRPr="00E257AB">
        <w:rPr>
          <w:rFonts w:ascii="微软雅黑" w:eastAsia="微软雅黑" w:hAnsi="微软雅黑" w:cs="Times New Roman" w:hint="eastAsia"/>
          <w:sz w:val="22"/>
          <w:szCs w:val="22"/>
        </w:rPr>
        <w:t>务人员。各项工商收费和罚没物资、现金、票证，应当分别登记造册，按规定处理。</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E257AB">
        <w:rPr>
          <w:rFonts w:ascii="微软雅黑" w:eastAsia="微软雅黑" w:hAnsi="微软雅黑" w:cs="Times New Roman" w:hint="eastAsia"/>
          <w:sz w:val="22"/>
          <w:szCs w:val="22"/>
        </w:rPr>
        <w:t>工商所的费用开支，按有关财务规定执行。</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第十二条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工商所应当建立健全内勤工作制度。各类文件和资料应当及时登记归档；认真处理来信来访；严格执行用印制度。</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第十三条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工商所工作人员必须清正廉洁，秉公执法，不得以权谋私，索贿受贿。</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第十四条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工商所工作人员必须严格遵守国家及有关部门制定的政府机关工作人员的各项纪律、守则，积极工作，忠于职守。</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第十五条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工商所工作人员执行公务时必须按规定着装，仪表庄重，待人礼貌。</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第十六条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工商所工作人员在</w:t>
      </w:r>
      <w:r w:rsidRPr="00E257AB">
        <w:rPr>
          <w:rFonts w:ascii="微软雅黑" w:eastAsia="微软雅黑" w:hAnsi="微软雅黑" w:cs="Times New Roman" w:hint="eastAsia"/>
          <w:sz w:val="22"/>
          <w:szCs w:val="22"/>
        </w:rPr>
        <w:t>工作中取得突出成绩的，工商所可提请区、县工商局给予奖励。对违纪违法的，由区、县工商局依照国家有关规定给予处分；情节严重，构成犯罪的，由司法机关依法追究刑事责任。</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第十七条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工商行政管理系统的其他专业所、队、站参照本条例规定执行。</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第十八条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本条例由国家工商行政管理局负责解释。</w:t>
      </w:r>
    </w:p>
    <w:p w:rsidR="00BC7116" w:rsidRPr="00E257AB" w:rsidRDefault="00112D50" w:rsidP="00E257AB">
      <w:pPr>
        <w:pStyle w:val="a3"/>
        <w:spacing w:line="280" w:lineRule="exact"/>
        <w:ind w:firstLineChars="200" w:firstLine="440"/>
        <w:rPr>
          <w:rFonts w:ascii="微软雅黑" w:eastAsia="微软雅黑" w:hAnsi="微软雅黑" w:cs="Times New Roman"/>
          <w:sz w:val="22"/>
          <w:szCs w:val="22"/>
        </w:rPr>
      </w:pPr>
      <w:r w:rsidRPr="00BD0A13">
        <w:rPr>
          <w:rFonts w:ascii="微软雅黑" w:eastAsia="微软雅黑" w:hAnsi="微软雅黑" w:cs="Times New Roman"/>
          <w:b/>
          <w:sz w:val="22"/>
          <w:szCs w:val="22"/>
        </w:rPr>
        <w:t>第十九条</w:t>
      </w:r>
      <w:r w:rsidRPr="00E257AB">
        <w:rPr>
          <w:rFonts w:ascii="微软雅黑" w:eastAsia="微软雅黑" w:hAnsi="微软雅黑" w:cs="Times New Roman"/>
          <w:sz w:val="22"/>
          <w:szCs w:val="22"/>
        </w:rPr>
        <w:t xml:space="preserve">　</w:t>
      </w:r>
      <w:r w:rsidRPr="00E257AB">
        <w:rPr>
          <w:rFonts w:ascii="微软雅黑" w:eastAsia="微软雅黑" w:hAnsi="微软雅黑" w:cs="Times New Roman" w:hint="eastAsia"/>
          <w:sz w:val="22"/>
          <w:szCs w:val="22"/>
        </w:rPr>
        <w:t>本条例自发布之日起施行。</w:t>
      </w:r>
    </w:p>
    <w:sectPr w:rsidR="00BC7116" w:rsidRPr="00E257AB" w:rsidSect="00E257AB">
      <w:footerReference w:type="default" r:id="rId7"/>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50" w:rsidRDefault="00112D50" w:rsidP="00BC7116">
      <w:r>
        <w:separator/>
      </w:r>
    </w:p>
  </w:endnote>
  <w:endnote w:type="continuationSeparator" w:id="0">
    <w:p w:rsidR="00112D50" w:rsidRDefault="00112D50" w:rsidP="00BC7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16" w:rsidRDefault="00BC711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C7116" w:rsidRDefault="00BC7116">
                <w:pPr>
                  <w:pStyle w:val="a4"/>
                </w:pPr>
                <w:r>
                  <w:rPr>
                    <w:rFonts w:hint="eastAsia"/>
                    <w:sz w:val="24"/>
                    <w:szCs w:val="24"/>
                  </w:rPr>
                  <w:fldChar w:fldCharType="begin"/>
                </w:r>
                <w:r w:rsidR="00112D50">
                  <w:rPr>
                    <w:rFonts w:hint="eastAsia"/>
                    <w:sz w:val="24"/>
                    <w:szCs w:val="24"/>
                  </w:rPr>
                  <w:instrText xml:space="preserve"> PAGE  \* MERGEFORMAT </w:instrText>
                </w:r>
                <w:r>
                  <w:rPr>
                    <w:rFonts w:hint="eastAsia"/>
                    <w:sz w:val="24"/>
                    <w:szCs w:val="24"/>
                  </w:rPr>
                  <w:fldChar w:fldCharType="separate"/>
                </w:r>
                <w:r w:rsidR="00AD127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50" w:rsidRDefault="00112D50" w:rsidP="00BC7116">
      <w:r>
        <w:separator/>
      </w:r>
    </w:p>
  </w:footnote>
  <w:footnote w:type="continuationSeparator" w:id="0">
    <w:p w:rsidR="00112D50" w:rsidRDefault="00112D50" w:rsidP="00BC7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735435"/>
    <w:rsid w:val="00112D50"/>
    <w:rsid w:val="0029314D"/>
    <w:rsid w:val="00363F34"/>
    <w:rsid w:val="007B17F0"/>
    <w:rsid w:val="00950E9C"/>
    <w:rsid w:val="00A659FB"/>
    <w:rsid w:val="00AD1274"/>
    <w:rsid w:val="00BC7116"/>
    <w:rsid w:val="00BD0A13"/>
    <w:rsid w:val="00DE21A9"/>
    <w:rsid w:val="00DF23FC"/>
    <w:rsid w:val="00E257AB"/>
    <w:rsid w:val="08735435"/>
    <w:rsid w:val="2B926D81"/>
    <w:rsid w:val="4DB5463C"/>
    <w:rsid w:val="4EF2185C"/>
    <w:rsid w:val="50F77D91"/>
    <w:rsid w:val="580744E6"/>
    <w:rsid w:val="5F384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1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C7116"/>
    <w:rPr>
      <w:rFonts w:ascii="宋体" w:eastAsia="宋体" w:hAnsi="Courier New" w:cs="Courier New"/>
      <w:szCs w:val="21"/>
    </w:rPr>
  </w:style>
  <w:style w:type="paragraph" w:styleId="a4">
    <w:name w:val="footer"/>
    <w:basedOn w:val="a"/>
    <w:qFormat/>
    <w:rsid w:val="00BC7116"/>
    <w:pPr>
      <w:tabs>
        <w:tab w:val="center" w:pos="4153"/>
        <w:tab w:val="right" w:pos="8306"/>
      </w:tabs>
      <w:snapToGrid w:val="0"/>
      <w:jc w:val="left"/>
    </w:pPr>
    <w:rPr>
      <w:sz w:val="18"/>
    </w:rPr>
  </w:style>
  <w:style w:type="paragraph" w:styleId="a5">
    <w:name w:val="header"/>
    <w:basedOn w:val="a"/>
    <w:qFormat/>
    <w:rsid w:val="00BC71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1329</Characters>
  <Application>Microsoft Office Word</Application>
  <DocSecurity>0</DocSecurity>
  <Lines>11</Lines>
  <Paragraphs>3</Paragraphs>
  <ScaleCrop>false</ScaleCrop>
  <Company>Microsoft</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cp:lastPrinted>2024-12-26T04:58:00Z</cp:lastPrinted>
  <dcterms:created xsi:type="dcterms:W3CDTF">2019-05-23T01:58:00Z</dcterms:created>
  <dcterms:modified xsi:type="dcterms:W3CDTF">2024-12-26T05:00:00Z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