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4E" w:rsidRPr="007A0203" w:rsidRDefault="00A9154E" w:rsidP="00323C23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</w:pPr>
      <w:r w:rsidRPr="00A9154E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关于落实公民旁听庭审制度的若干规定</w:t>
      </w:r>
    </w:p>
    <w:p w:rsidR="00323C23" w:rsidRDefault="00323C23" w:rsidP="0051269A">
      <w:pPr>
        <w:widowControl/>
        <w:spacing w:line="380" w:lineRule="exact"/>
        <w:jc w:val="center"/>
        <w:rPr>
          <w:rFonts w:ascii="微软雅黑" w:eastAsia="微软雅黑" w:hAnsi="微软雅黑" w:cs="Arial" w:hint="eastAsia"/>
          <w:color w:val="2B2B2B"/>
          <w:kern w:val="0"/>
          <w:szCs w:val="21"/>
        </w:rPr>
      </w:pPr>
    </w:p>
    <w:p w:rsidR="00A9154E" w:rsidRPr="00A9154E" w:rsidRDefault="00A9154E" w:rsidP="0051269A">
      <w:pPr>
        <w:widowControl/>
        <w:spacing w:line="380" w:lineRule="exact"/>
        <w:ind w:firstLineChars="200" w:firstLine="480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为进一步推进司法公开，扩大司法民主，畅通公民旁听渠道，保障公民旁听权利，依照《中华人民共和国人民法院组织法》、《中华人民共和国人民法院法庭规则》等有关规定，结合本院实际，制定以下规定：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第一条  凡是本院依法公开开庭审理的案件，一律允许公民旁听庭审。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第二条  拓宽信息发布和提示渠道，公开开庭审理的案件，在开庭三日前分别在本院公告栏、官方网站、微博和微信平台对外发布开庭公告，为公民旁听提供便利。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第三条  开庭公告内容包括当事人的姓名或名称、案由、开庭时间、地点、合议庭组成人员及法庭旁听席位数。对庭审活动进行直播或录播的，同时公告播出的方式和时间。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第四条 对旁听公民除进行必要的身份查验和安全检查外，不得设置旁听限制，但下列人员不得参加旁听：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（一）不满18岁的未成年人（经法院批准的除外）；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（二）精神病人和醉酒的人；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（三）其他不宜旁听的人。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第五条  对于公开开庭审理的案件，应当根据案件情况安排适当的审判场所，尽可能满足公民旁听要求。因审判场所、安全保卫等客观因素需控制旁听人数的，由本院发放《旁听证》，旁听公民凭证入庭。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第六条  旁听公民入庭前，应当服从法院安检，交验公民身份证件，并按要求寄存个人物品。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第七条  旁听公民必须遵守以下法庭纪律：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（一）不得录音、录像和摄影；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（二）不得随意走动和进入审判区；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（三）不得发言、提问；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（四）不得鼓掌、喧哗、哄闹和实施其他妨害审判活动的行为。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第八条 公民旁听庭审应当遵守法庭纪律。违反法庭纪律的，本院可以依法予以警告、训诫或采取强制措施。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第九条  旁听公民可在庭审结束后向法庭书记员领取《旁听意见征询表》，提出对庭审活动及法院其他工作的意见或建议，填写完毕后投入审判大楼一楼的旁听意见箱。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第十条 外国人和无国籍人持有效证件要求旁听的，参照中国公民旁听的规定办理。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第十一条  应当定期邀请人大代表、政协委员、本院廉政监督员旁听庭审。人大代表、政协委员、本院廉政监督员主动提出旁听庭审要求的，应当积极协调安排。人大代表、政协委员持代表证或委员证，自行前来法院旁听庭审的，应当准予旁听，不得拒绝或设置障碍。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第十二条  应当主动接受新闻媒体监督，对于公开审理的案件，应当允许新闻媒体旁听。根据需要可以设立媒体席，经本院许可可以在庭审过程中录音、录像、摄影。</w:t>
      </w:r>
    </w:p>
    <w:p w:rsidR="00A9154E" w:rsidRPr="00A9154E" w:rsidRDefault="00A9154E" w:rsidP="0051269A">
      <w:pPr>
        <w:widowControl/>
        <w:spacing w:line="380" w:lineRule="exact"/>
        <w:jc w:val="lef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第十三条  本院审判管理办公室为具体办理公民旁听工作的牵头部门，并负责收集、整理和吸纳公民对庭审工作的意见和建议。其他相关部门应予以配合。</w:t>
      </w:r>
    </w:p>
    <w:p w:rsidR="003B2256" w:rsidRDefault="00A9154E" w:rsidP="0051269A">
      <w:pPr>
        <w:spacing w:line="380" w:lineRule="exact"/>
        <w:rPr>
          <w:rFonts w:ascii="微软雅黑" w:eastAsia="微软雅黑" w:hAnsi="微软雅黑" w:cs="Arial" w:hint="eastAsia"/>
          <w:color w:val="2B2B2B"/>
          <w:kern w:val="0"/>
          <w:sz w:val="24"/>
        </w:rPr>
      </w:pPr>
      <w:r w:rsidRPr="00A9154E">
        <w:rPr>
          <w:rFonts w:ascii="微软雅黑" w:eastAsia="微软雅黑" w:hAnsi="微软雅黑" w:cs="Arial" w:hint="eastAsia"/>
          <w:color w:val="2B2B2B"/>
          <w:kern w:val="0"/>
          <w:sz w:val="24"/>
        </w:rPr>
        <w:t>    第十四条  本办法自公布之日起施行。</w:t>
      </w:r>
    </w:p>
    <w:p w:rsidR="0051269A" w:rsidRDefault="0051269A" w:rsidP="0051269A">
      <w:pPr>
        <w:spacing w:line="100" w:lineRule="exact"/>
        <w:rPr>
          <w:rFonts w:ascii="微软雅黑" w:eastAsia="微软雅黑" w:hAnsi="微软雅黑" w:cs="Arial" w:hint="eastAsia"/>
          <w:color w:val="2B2B2B"/>
          <w:kern w:val="0"/>
          <w:sz w:val="24"/>
        </w:rPr>
      </w:pPr>
    </w:p>
    <w:p w:rsidR="0051269A" w:rsidRPr="0051269A" w:rsidRDefault="0051269A" w:rsidP="0051269A">
      <w:pPr>
        <w:spacing w:line="380" w:lineRule="exact"/>
        <w:jc w:val="right"/>
        <w:rPr>
          <w:rFonts w:ascii="微软雅黑" w:eastAsia="微软雅黑" w:hAnsi="微软雅黑" w:hint="eastAsia"/>
          <w:color w:val="000000"/>
          <w:sz w:val="22"/>
          <w:szCs w:val="22"/>
          <w:shd w:val="clear" w:color="auto" w:fill="FFFFFF"/>
        </w:rPr>
      </w:pPr>
      <w:r w:rsidRPr="0051269A">
        <w:rPr>
          <w:rFonts w:ascii="微软雅黑" w:eastAsia="微软雅黑" w:hAnsi="微软雅黑" w:hint="eastAsia"/>
          <w:color w:val="000000"/>
          <w:sz w:val="22"/>
          <w:szCs w:val="22"/>
          <w:shd w:val="clear" w:color="auto" w:fill="FFFFFF"/>
        </w:rPr>
        <w:t>宁波市中级人民法院</w:t>
      </w:r>
    </w:p>
    <w:p w:rsidR="0051269A" w:rsidRPr="0051269A" w:rsidRDefault="0051269A" w:rsidP="0051269A">
      <w:pPr>
        <w:spacing w:line="380" w:lineRule="exact"/>
        <w:jc w:val="right"/>
        <w:rPr>
          <w:sz w:val="22"/>
          <w:szCs w:val="22"/>
        </w:rPr>
      </w:pPr>
      <w:r w:rsidRPr="0051269A">
        <w:rPr>
          <w:rFonts w:ascii="微软雅黑" w:eastAsia="微软雅黑" w:hAnsi="微软雅黑" w:hint="eastAsia"/>
          <w:color w:val="000000"/>
          <w:sz w:val="22"/>
          <w:szCs w:val="22"/>
          <w:shd w:val="clear" w:color="auto" w:fill="FFFFFF"/>
        </w:rPr>
        <w:t>2014年7月10日</w:t>
      </w:r>
    </w:p>
    <w:sectPr w:rsidR="0051269A" w:rsidRPr="0051269A" w:rsidSect="00143413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C4" w:rsidRDefault="003D65C4" w:rsidP="003B2256">
      <w:r>
        <w:separator/>
      </w:r>
    </w:p>
  </w:endnote>
  <w:endnote w:type="continuationSeparator" w:id="0">
    <w:p w:rsidR="003D65C4" w:rsidRDefault="003D65C4" w:rsidP="003B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366013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36601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832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3073;mso-fit-shape-to-text:t" inset="0,0,0,0">
            <w:txbxContent>
              <w:p w:rsidR="003B2256" w:rsidRDefault="00F20EB7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36601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6601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43413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36601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366013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36601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63.75pt;margin-top:4.85pt;width:59.55pt;height:18.15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3B2256" w:rsidRDefault="00F20EB7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36601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6601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A0203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36601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C4" w:rsidRDefault="003D65C4" w:rsidP="003B2256">
      <w:r>
        <w:separator/>
      </w:r>
    </w:p>
  </w:footnote>
  <w:footnote w:type="continuationSeparator" w:id="0">
    <w:p w:rsidR="003D65C4" w:rsidRDefault="003D65C4" w:rsidP="003B2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A17FC"/>
    <w:rsid w:val="00143413"/>
    <w:rsid w:val="00290080"/>
    <w:rsid w:val="00323C23"/>
    <w:rsid w:val="00323D76"/>
    <w:rsid w:val="00366013"/>
    <w:rsid w:val="003B2256"/>
    <w:rsid w:val="003D65C4"/>
    <w:rsid w:val="004064E8"/>
    <w:rsid w:val="0051269A"/>
    <w:rsid w:val="00554EB8"/>
    <w:rsid w:val="0064282F"/>
    <w:rsid w:val="00690873"/>
    <w:rsid w:val="007630C3"/>
    <w:rsid w:val="00793835"/>
    <w:rsid w:val="007A0203"/>
    <w:rsid w:val="007B0DAB"/>
    <w:rsid w:val="00803A63"/>
    <w:rsid w:val="00872005"/>
    <w:rsid w:val="00984D89"/>
    <w:rsid w:val="009969A5"/>
    <w:rsid w:val="009E1211"/>
    <w:rsid w:val="00A9154E"/>
    <w:rsid w:val="00CF39F7"/>
    <w:rsid w:val="00D619CC"/>
    <w:rsid w:val="00D771C4"/>
    <w:rsid w:val="00DD58FE"/>
    <w:rsid w:val="00F20EB7"/>
    <w:rsid w:val="00F96AE7"/>
    <w:rsid w:val="00FA5538"/>
    <w:rsid w:val="00FF4BC9"/>
    <w:rsid w:val="02380A4E"/>
    <w:rsid w:val="02C54CFB"/>
    <w:rsid w:val="042F174E"/>
    <w:rsid w:val="0751543E"/>
    <w:rsid w:val="0BE369DE"/>
    <w:rsid w:val="0F9D48A9"/>
    <w:rsid w:val="0FC66F39"/>
    <w:rsid w:val="10F263C1"/>
    <w:rsid w:val="12503D6C"/>
    <w:rsid w:val="135B4974"/>
    <w:rsid w:val="19EF53F7"/>
    <w:rsid w:val="1AD877C2"/>
    <w:rsid w:val="1C547AC8"/>
    <w:rsid w:val="1C680EC6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10E7E2A"/>
    <w:rsid w:val="4AEF215E"/>
    <w:rsid w:val="4DA15956"/>
    <w:rsid w:val="4E7D2A86"/>
    <w:rsid w:val="501B3EB2"/>
    <w:rsid w:val="5027117E"/>
    <w:rsid w:val="56C00D65"/>
    <w:rsid w:val="65586BE5"/>
    <w:rsid w:val="68BA17FC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2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22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B22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3B2256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3B2256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3B2256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3B2256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3B2256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rsid w:val="003B2256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3B2256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3B2256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3B2256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3B2256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3B2256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3B2256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3B2256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3B2256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3B2256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Char"/>
    <w:rsid w:val="00984D89"/>
    <w:pPr>
      <w:ind w:leftChars="2500" w:left="100"/>
    </w:pPr>
  </w:style>
  <w:style w:type="character" w:customStyle="1" w:styleId="Char">
    <w:name w:val="日期 Char"/>
    <w:basedOn w:val="a0"/>
    <w:link w:val="af8"/>
    <w:rsid w:val="00984D89"/>
    <w:rPr>
      <w:kern w:val="2"/>
      <w:sz w:val="21"/>
      <w:szCs w:val="24"/>
    </w:rPr>
  </w:style>
  <w:style w:type="paragraph" w:styleId="af9">
    <w:name w:val="Plain Text"/>
    <w:basedOn w:val="a"/>
    <w:link w:val="Char0"/>
    <w:uiPriority w:val="99"/>
    <w:rsid w:val="00DD58FE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f9"/>
    <w:uiPriority w:val="99"/>
    <w:rsid w:val="00DD58FE"/>
    <w:rPr>
      <w:rFonts w:ascii="宋体" w:hAnsi="Courier New" w:cs="Courier New"/>
      <w:kern w:val="2"/>
      <w:sz w:val="21"/>
      <w:szCs w:val="21"/>
    </w:rPr>
  </w:style>
  <w:style w:type="character" w:styleId="afa">
    <w:name w:val="Hyperlink"/>
    <w:basedOn w:val="a0"/>
    <w:uiPriority w:val="99"/>
    <w:unhideWhenUsed/>
    <w:rsid w:val="00A9154E"/>
    <w:rPr>
      <w:color w:val="0000FF"/>
      <w:u w:val="single"/>
    </w:rPr>
  </w:style>
  <w:style w:type="paragraph" w:styleId="afb">
    <w:name w:val="Normal (Web)"/>
    <w:basedOn w:val="a"/>
    <w:uiPriority w:val="99"/>
    <w:unhideWhenUsed/>
    <w:rsid w:val="00A915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43</TotalTime>
  <Pages>1</Pages>
  <Words>175</Words>
  <Characters>1004</Characters>
  <Application>Microsoft Office Word</Application>
  <DocSecurity>0</DocSecurity>
  <Lines>8</Lines>
  <Paragraphs>2</Paragraphs>
  <ScaleCrop>false</ScaleCrop>
  <Company>Newdaxie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16</cp:revision>
  <dcterms:created xsi:type="dcterms:W3CDTF">2017-11-02T15:25:00Z</dcterms:created>
  <dcterms:modified xsi:type="dcterms:W3CDTF">2024-12-11T07:33:00Z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