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2C" w:rsidRPr="007D3BF5" w:rsidRDefault="006B752C" w:rsidP="007D3BF5">
      <w:pPr>
        <w:widowControl/>
        <w:spacing w:before="120" w:after="375"/>
        <w:jc w:val="center"/>
        <w:outlineLvl w:val="0"/>
        <w:rPr>
          <w:rFonts w:ascii="微软雅黑" w:eastAsia="微软雅黑" w:hAnsi="微软雅黑" w:cs="Segoe UI"/>
          <w:b/>
          <w:bCs/>
          <w:color w:val="FF0000"/>
          <w:kern w:val="36"/>
          <w:sz w:val="28"/>
          <w:szCs w:val="28"/>
        </w:rPr>
      </w:pPr>
      <w:r w:rsidRPr="007D3BF5">
        <w:rPr>
          <w:rFonts w:ascii="微软雅黑" w:eastAsia="微软雅黑" w:hAnsi="微软雅黑" w:cs="Segoe UI"/>
          <w:b/>
          <w:bCs/>
          <w:color w:val="FF0000"/>
          <w:kern w:val="36"/>
          <w:sz w:val="28"/>
          <w:szCs w:val="28"/>
        </w:rPr>
        <w:t>最高法：执行程序中对于迟延履行期间的“加倍债务利息”应当如何计算</w:t>
      </w:r>
    </w:p>
    <w:p w:rsidR="006B752C" w:rsidRPr="006B752C" w:rsidRDefault="006B752C" w:rsidP="00D26913">
      <w:pPr>
        <w:widowControl/>
        <w:spacing w:line="360" w:lineRule="exact"/>
        <w:ind w:firstLineChars="200" w:firstLine="440"/>
        <w:jc w:val="center"/>
        <w:rPr>
          <w:rFonts w:asciiTheme="minorEastAsia" w:hAnsiTheme="minorEastAsia" w:cs="Segoe UI"/>
          <w:color w:val="000000"/>
          <w:kern w:val="0"/>
          <w:sz w:val="22"/>
        </w:rPr>
      </w:pPr>
      <w:r w:rsidRPr="006B752C">
        <w:rPr>
          <w:rFonts w:asciiTheme="minorEastAsia" w:hAnsiTheme="minorEastAsia" w:cs="Segoe UI"/>
          <w:color w:val="000000"/>
          <w:kern w:val="0"/>
          <w:sz w:val="22"/>
        </w:rPr>
        <w:t>自由就是做法律许可范围内的事情的权利—— 西塞罗</w:t>
      </w:r>
    </w:p>
    <w:p w:rsidR="006B752C" w:rsidRPr="006B752C" w:rsidRDefault="006B752C" w:rsidP="006B752C">
      <w:pPr>
        <w:widowControl/>
        <w:spacing w:line="360" w:lineRule="exact"/>
        <w:jc w:val="left"/>
        <w:rPr>
          <w:rFonts w:asciiTheme="minorEastAsia" w:hAnsiTheme="minorEastAsia" w:cs="Segoe UI"/>
          <w:color w:val="000000"/>
          <w:kern w:val="0"/>
          <w:sz w:val="22"/>
        </w:rPr>
      </w:pPr>
    </w:p>
    <w:p w:rsidR="006B752C" w:rsidRPr="006B752C" w:rsidRDefault="006B752C" w:rsidP="00F30B4F">
      <w:pPr>
        <w:widowControl/>
        <w:spacing w:line="360" w:lineRule="exact"/>
        <w:ind w:firstLineChars="200" w:firstLine="440"/>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迟延履行期间加倍利息作为迟延履行责任的一种表现形式，其对于惩戒恶意不履行生效法律文书的行为具有重要的作用。但是，由于司法实务中对于迟延履行制度理解并不统一，加之法律不够明确，导致实践中对迟延履行期间加倍利息的计算基数、截止时间等存在争议。</w:t>
      </w:r>
    </w:p>
    <w:p w:rsidR="006B752C" w:rsidRPr="006B752C" w:rsidRDefault="006B752C" w:rsidP="006B752C">
      <w:pPr>
        <w:widowControl/>
        <w:spacing w:line="360" w:lineRule="exact"/>
        <w:jc w:val="left"/>
        <w:rPr>
          <w:rFonts w:asciiTheme="minorEastAsia" w:hAnsiTheme="minorEastAsia" w:cs="Segoe UI"/>
          <w:color w:val="000000"/>
          <w:kern w:val="0"/>
          <w:sz w:val="22"/>
        </w:rPr>
      </w:pPr>
    </w:p>
    <w:p w:rsidR="006B752C" w:rsidRDefault="006B752C" w:rsidP="00F30B4F">
      <w:pPr>
        <w:widowControl/>
        <w:spacing w:line="360" w:lineRule="exact"/>
        <w:ind w:firstLineChars="200" w:firstLine="440"/>
        <w:jc w:val="left"/>
        <w:rPr>
          <w:rFonts w:asciiTheme="minorEastAsia" w:hAnsiTheme="minorEastAsia" w:cs="Segoe UI"/>
          <w:color w:val="00B050"/>
          <w:kern w:val="0"/>
          <w:sz w:val="22"/>
        </w:rPr>
      </w:pPr>
      <w:r w:rsidRPr="006B752C">
        <w:rPr>
          <w:rFonts w:asciiTheme="minorEastAsia" w:hAnsiTheme="minorEastAsia" w:cs="Segoe UI"/>
          <w:color w:val="00B050"/>
          <w:kern w:val="0"/>
          <w:sz w:val="22"/>
        </w:rPr>
        <w:t>本期，我们选取了一则最高法院典型案例，就相关问题进行了分析研究。</w:t>
      </w:r>
    </w:p>
    <w:p w:rsidR="006B752C" w:rsidRPr="006B752C" w:rsidRDefault="006B752C" w:rsidP="006B752C">
      <w:pPr>
        <w:widowControl/>
        <w:spacing w:line="360" w:lineRule="exact"/>
        <w:jc w:val="left"/>
        <w:rPr>
          <w:rFonts w:asciiTheme="minorEastAsia" w:hAnsiTheme="minorEastAsia" w:cs="Segoe UI"/>
          <w:color w:val="00B050"/>
          <w:kern w:val="0"/>
          <w:sz w:val="24"/>
          <w:szCs w:val="24"/>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proofErr w:type="gramStart"/>
      <w:r w:rsidRPr="006B752C">
        <w:rPr>
          <w:rFonts w:asciiTheme="minorEastAsia" w:hAnsiTheme="minorEastAsia" w:cs="Segoe UI"/>
          <w:b/>
          <w:color w:val="C00000"/>
          <w:kern w:val="0"/>
          <w:sz w:val="22"/>
        </w:rPr>
        <w:t>一</w:t>
      </w:r>
      <w:proofErr w:type="gramEnd"/>
      <w:r w:rsidR="00F30B4F">
        <w:rPr>
          <w:rFonts w:asciiTheme="minorEastAsia" w:hAnsiTheme="minorEastAsia" w:cs="Segoe UI" w:hint="eastAsia"/>
          <w:b/>
          <w:color w:val="C00000"/>
          <w:kern w:val="0"/>
          <w:sz w:val="22"/>
        </w:rPr>
        <w:t xml:space="preserve"> </w:t>
      </w:r>
      <w:r w:rsidRPr="006B752C">
        <w:rPr>
          <w:rFonts w:asciiTheme="minorEastAsia" w:hAnsiTheme="minorEastAsia" w:cs="Segoe UI"/>
          <w:b/>
          <w:bCs/>
          <w:color w:val="C00000"/>
          <w:kern w:val="0"/>
          <w:sz w:val="22"/>
        </w:rPr>
        <w:t>案情简介</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一、北郊乡政府对所属的集体企业建工总公司进行整体改制，以该公司的部分土地使用权、房屋使用权等资产实行公开竞标有偿转让，竞标人侯福堂中标。随后，双方签订了企业有偿转让合同，合同价款为452万。</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二、合同签订当日，侯福堂将购买款项交于北郊乡政府，北郊乡政府也将公司的部分财产做了移交。但因北郊乡政府移交的债权不完整，致使侯福</w:t>
      </w:r>
      <w:proofErr w:type="gramStart"/>
      <w:r w:rsidRPr="006B752C">
        <w:rPr>
          <w:rFonts w:asciiTheme="minorEastAsia" w:hAnsiTheme="minorEastAsia" w:cs="Segoe UI"/>
          <w:color w:val="000000"/>
          <w:kern w:val="0"/>
          <w:sz w:val="22"/>
        </w:rPr>
        <w:t>堂无法</w:t>
      </w:r>
      <w:proofErr w:type="gramEnd"/>
      <w:r w:rsidRPr="006B752C">
        <w:rPr>
          <w:rFonts w:asciiTheme="minorEastAsia" w:hAnsiTheme="minorEastAsia" w:cs="Segoe UI"/>
          <w:color w:val="000000"/>
          <w:kern w:val="0"/>
          <w:sz w:val="22"/>
        </w:rPr>
        <w:t>向债务人主张权利。此外，转让</w:t>
      </w:r>
      <w:proofErr w:type="gramStart"/>
      <w:r w:rsidRPr="006B752C">
        <w:rPr>
          <w:rFonts w:asciiTheme="minorEastAsia" w:hAnsiTheme="minorEastAsia" w:cs="Segoe UI"/>
          <w:color w:val="000000"/>
          <w:kern w:val="0"/>
          <w:sz w:val="22"/>
        </w:rPr>
        <w:t>给侯福</w:t>
      </w:r>
      <w:proofErr w:type="gramEnd"/>
      <w:r w:rsidRPr="006B752C">
        <w:rPr>
          <w:rFonts w:asciiTheme="minorEastAsia" w:hAnsiTheme="minorEastAsia" w:cs="Segoe UI"/>
          <w:color w:val="000000"/>
          <w:kern w:val="0"/>
          <w:sz w:val="22"/>
        </w:rPr>
        <w:t>堂的部分房屋属租地建厂，并未取得房产证。</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三、</w:t>
      </w:r>
      <w:proofErr w:type="gramStart"/>
      <w:r w:rsidRPr="006B752C">
        <w:rPr>
          <w:rFonts w:asciiTheme="minorEastAsia" w:hAnsiTheme="minorEastAsia" w:cs="Segoe UI"/>
          <w:color w:val="000000"/>
          <w:kern w:val="0"/>
          <w:sz w:val="22"/>
        </w:rPr>
        <w:t>后侯福</w:t>
      </w:r>
      <w:proofErr w:type="gramEnd"/>
      <w:r w:rsidRPr="006B752C">
        <w:rPr>
          <w:rFonts w:asciiTheme="minorEastAsia" w:hAnsiTheme="minorEastAsia" w:cs="Segoe UI"/>
          <w:color w:val="000000"/>
          <w:kern w:val="0"/>
          <w:sz w:val="22"/>
        </w:rPr>
        <w:t>堂以北郊乡政府违约为由起诉，法院审理判令北郊乡政府以未移交的账册和记账凭证记载983704.64元为标准，赔偿侯福堂损失。因北郊乡政府未按期足额履行给付义务，侯福</w:t>
      </w:r>
      <w:proofErr w:type="gramStart"/>
      <w:r w:rsidRPr="006B752C">
        <w:rPr>
          <w:rFonts w:asciiTheme="minorEastAsia" w:hAnsiTheme="minorEastAsia" w:cs="Segoe UI"/>
          <w:color w:val="000000"/>
          <w:kern w:val="0"/>
          <w:sz w:val="22"/>
        </w:rPr>
        <w:t>堂申请</w:t>
      </w:r>
      <w:proofErr w:type="gramEnd"/>
      <w:r w:rsidRPr="006B752C">
        <w:rPr>
          <w:rFonts w:asciiTheme="minorEastAsia" w:hAnsiTheme="minorEastAsia" w:cs="Segoe UI"/>
          <w:color w:val="000000"/>
          <w:kern w:val="0"/>
          <w:sz w:val="22"/>
        </w:rPr>
        <w:t>了强制执行。在执行中双方就迟延履行利息计算等产生争议。</w:t>
      </w:r>
    </w:p>
    <w:p w:rsidR="006B752C" w:rsidRDefault="006B752C" w:rsidP="006B752C">
      <w:pPr>
        <w:widowControl/>
        <w:spacing w:line="400" w:lineRule="exact"/>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四、最高院审理后认为，加倍债务利息应仅以金钱债务即本金作为计算基数，本案判决中明确北郊乡政府移交的账册等若达不到983704.64元，差额部分确定为金钱债务，故，本案加倍利息应以差额部分作为计算基数。</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二</w:t>
      </w:r>
      <w:r w:rsidR="00F30B4F">
        <w:rPr>
          <w:rFonts w:asciiTheme="minorEastAsia" w:hAnsiTheme="minorEastAsia" w:cs="Segoe UI" w:hint="eastAsia"/>
          <w:b/>
          <w:color w:val="C00000"/>
          <w:kern w:val="0"/>
          <w:sz w:val="22"/>
        </w:rPr>
        <w:t xml:space="preserve"> </w:t>
      </w:r>
      <w:r w:rsidRPr="006B752C">
        <w:rPr>
          <w:rFonts w:asciiTheme="minorEastAsia" w:hAnsiTheme="minorEastAsia" w:cs="Segoe UI"/>
          <w:b/>
          <w:bCs/>
          <w:color w:val="C00000"/>
          <w:kern w:val="0"/>
          <w:sz w:val="22"/>
        </w:rPr>
        <w:t>核心观点</w:t>
      </w:r>
    </w:p>
    <w:p w:rsidR="006B752C" w:rsidRDefault="006B752C" w:rsidP="00F30B4F">
      <w:pPr>
        <w:widowControl/>
        <w:spacing w:line="400" w:lineRule="exact"/>
        <w:ind w:firstLineChars="200" w:firstLine="440"/>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在法院执行中，对于被申请人迟延履行期间的加倍利息计算，应排除生效判决所确定的由被申请人承担的一般债务利息及诉讼费、律师费等相关费用，仅以申请人起诉时的</w:t>
      </w:r>
      <w:r w:rsidRPr="00782748">
        <w:rPr>
          <w:rFonts w:asciiTheme="minorEastAsia" w:hAnsiTheme="minorEastAsia" w:cs="Segoe UI"/>
          <w:b/>
          <w:color w:val="FF0000"/>
          <w:kern w:val="0"/>
          <w:sz w:val="22"/>
          <w:highlight w:val="yellow"/>
        </w:rPr>
        <w:t>债务本金</w:t>
      </w:r>
      <w:r w:rsidRPr="006B752C">
        <w:rPr>
          <w:rFonts w:asciiTheme="minorEastAsia" w:hAnsiTheme="minorEastAsia" w:cs="Segoe UI"/>
          <w:color w:val="000000"/>
          <w:kern w:val="0"/>
          <w:sz w:val="22"/>
        </w:rPr>
        <w:t>作为计算基数。</w:t>
      </w:r>
    </w:p>
    <w:p w:rsidR="00F30B4F" w:rsidRPr="006B752C" w:rsidRDefault="00F30B4F" w:rsidP="00F30B4F">
      <w:pPr>
        <w:widowControl/>
        <w:spacing w:line="400" w:lineRule="exact"/>
        <w:ind w:firstLineChars="200" w:firstLine="440"/>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三</w:t>
      </w:r>
      <w:r w:rsidR="00F30B4F">
        <w:rPr>
          <w:rFonts w:asciiTheme="minorEastAsia" w:hAnsiTheme="minorEastAsia" w:cs="Segoe UI" w:hint="eastAsia"/>
          <w:b/>
          <w:color w:val="C00000"/>
          <w:kern w:val="0"/>
          <w:sz w:val="22"/>
        </w:rPr>
        <w:t xml:space="preserve"> </w:t>
      </w:r>
      <w:r w:rsidRPr="006B752C">
        <w:rPr>
          <w:rFonts w:asciiTheme="minorEastAsia" w:hAnsiTheme="minorEastAsia" w:cs="Segoe UI"/>
          <w:b/>
          <w:bCs/>
          <w:color w:val="C00000"/>
          <w:kern w:val="0"/>
          <w:sz w:val="22"/>
        </w:rPr>
        <w:t>实务分析</w:t>
      </w:r>
    </w:p>
    <w:p w:rsidR="006B752C" w:rsidRPr="006B752C" w:rsidRDefault="006B752C" w:rsidP="00F30B4F">
      <w:pPr>
        <w:widowControl/>
        <w:spacing w:line="400" w:lineRule="exact"/>
        <w:ind w:firstLineChars="200" w:firstLine="440"/>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根据《关于执行程序中计算迟延履行期间的债务利息适用法律若干问题的解释》（下称“《解释》”）第一条，可知迟延履行期间的利息包括迟延履行期间的一般债务利息和加倍债务利息两部分。对于迟延履行期间的加倍债务利息，虽然《解释》做了相对明确的规定，即以债务人尚未清偿的生效法律文书确定的除一般债务利息之外的金钱债务为计算基数，但司法实务中对于该基数具体包含哪些内容仍存争议。</w:t>
      </w:r>
    </w:p>
    <w:p w:rsidR="006B752C" w:rsidRPr="006B752C" w:rsidRDefault="006B752C" w:rsidP="00F30B4F">
      <w:pPr>
        <w:widowControl/>
        <w:spacing w:line="400" w:lineRule="exact"/>
        <w:ind w:firstLineChars="200" w:firstLine="440"/>
        <w:jc w:val="left"/>
        <w:rPr>
          <w:rFonts w:asciiTheme="minorEastAsia" w:hAnsiTheme="minorEastAsia" w:cs="Segoe UI"/>
          <w:color w:val="000000"/>
          <w:kern w:val="0"/>
          <w:sz w:val="22"/>
        </w:rPr>
      </w:pPr>
      <w:r w:rsidRPr="00F30B4F">
        <w:rPr>
          <w:rFonts w:asciiTheme="minorEastAsia" w:hAnsiTheme="minorEastAsia" w:cs="Segoe UI"/>
          <w:color w:val="0000FF"/>
          <w:kern w:val="0"/>
          <w:sz w:val="22"/>
        </w:rPr>
        <w:t>第一种观点认为，加倍债务利息的计算以债务本金和生效法律文书确定的履行期间届满前的一般债务利息之和作为计算基数。</w:t>
      </w:r>
      <w:r w:rsidRPr="006B752C">
        <w:rPr>
          <w:rFonts w:asciiTheme="minorEastAsia" w:hAnsiTheme="minorEastAsia" w:cs="Segoe UI"/>
          <w:color w:val="000000"/>
          <w:kern w:val="0"/>
          <w:sz w:val="22"/>
        </w:rPr>
        <w:t>民事诉讼法第260条所规定的“加倍支付迟延履行期间的债务利息”中的“债务”，在司法实践中通常被认为是个整体概念，既包括法律文书所确认债务本金又包括履行期限届满前所产生的利息。因此，对于生效法律文书确定的履行期限届满前产生的一般债务利息应与债务本金一并作为加倍债务利息的基数计算。</w:t>
      </w:r>
    </w:p>
    <w:p w:rsidR="006B752C" w:rsidRPr="006B752C" w:rsidRDefault="006B752C" w:rsidP="00F30B4F">
      <w:pPr>
        <w:widowControl/>
        <w:spacing w:line="400" w:lineRule="exact"/>
        <w:ind w:firstLineChars="200" w:firstLine="440"/>
        <w:jc w:val="left"/>
        <w:rPr>
          <w:rFonts w:asciiTheme="minorEastAsia" w:hAnsiTheme="minorEastAsia" w:cs="Segoe UI"/>
          <w:color w:val="000000"/>
          <w:kern w:val="0"/>
          <w:sz w:val="22"/>
        </w:rPr>
      </w:pPr>
      <w:r w:rsidRPr="00F30B4F">
        <w:rPr>
          <w:rFonts w:asciiTheme="minorEastAsia" w:hAnsiTheme="minorEastAsia" w:cs="Segoe UI"/>
          <w:color w:val="0000FF"/>
          <w:kern w:val="0"/>
          <w:sz w:val="22"/>
        </w:rPr>
        <w:t>第二种观点认为，加倍债务利息的计算基数不仅包含原债务本金和利息，还应当包括诉讼费用、鉴定费用等。《解释》规定的迟延履行债务利息的计算基数为“除一般债务利息之外的金钱债务”，而执行费用等亦是</w:t>
      </w:r>
      <w:r w:rsidRPr="00F30B4F">
        <w:rPr>
          <w:rFonts w:asciiTheme="minorEastAsia" w:hAnsiTheme="minorEastAsia" w:cs="Segoe UI"/>
          <w:color w:val="0000FF"/>
          <w:kern w:val="0"/>
          <w:sz w:val="22"/>
        </w:rPr>
        <w:lastRenderedPageBreak/>
        <w:t>生效法律文书明确认定由债务人承担的费用。</w:t>
      </w:r>
      <w:r w:rsidRPr="006B752C">
        <w:rPr>
          <w:rFonts w:asciiTheme="minorEastAsia" w:hAnsiTheme="minorEastAsia" w:cs="Segoe UI"/>
          <w:color w:val="000000"/>
          <w:kern w:val="0"/>
          <w:sz w:val="22"/>
        </w:rPr>
        <w:t>同时，结合立法本意，加倍利息的设置具有惩戒性，也带有对债权人的救济性和补偿性，若对执行费等相关法律费用</w:t>
      </w:r>
      <w:proofErr w:type="gramStart"/>
      <w:r w:rsidRPr="006B752C">
        <w:rPr>
          <w:rFonts w:asciiTheme="minorEastAsia" w:hAnsiTheme="minorEastAsia" w:cs="Segoe UI"/>
          <w:color w:val="000000"/>
          <w:kern w:val="0"/>
          <w:sz w:val="22"/>
        </w:rPr>
        <w:t>均计算</w:t>
      </w:r>
      <w:proofErr w:type="gramEnd"/>
      <w:r w:rsidRPr="006B752C">
        <w:rPr>
          <w:rFonts w:asciiTheme="minorEastAsia" w:hAnsiTheme="minorEastAsia" w:cs="Segoe UI"/>
          <w:color w:val="000000"/>
          <w:kern w:val="0"/>
          <w:sz w:val="22"/>
        </w:rPr>
        <w:t>加倍利息，更能体现实质公平。故理应将前述费用均作为加倍债务利息的计算基数。</w:t>
      </w:r>
    </w:p>
    <w:p w:rsidR="006B752C" w:rsidRPr="006B752C" w:rsidRDefault="006B752C" w:rsidP="00F30B4F">
      <w:pPr>
        <w:widowControl/>
        <w:spacing w:line="400" w:lineRule="exact"/>
        <w:ind w:firstLineChars="200" w:firstLine="440"/>
        <w:jc w:val="left"/>
        <w:rPr>
          <w:rFonts w:asciiTheme="minorEastAsia" w:hAnsiTheme="minorEastAsia" w:cs="Segoe UI"/>
          <w:color w:val="000000"/>
          <w:kern w:val="0"/>
          <w:sz w:val="22"/>
        </w:rPr>
      </w:pPr>
      <w:r w:rsidRPr="00F30B4F">
        <w:rPr>
          <w:rFonts w:asciiTheme="minorEastAsia" w:hAnsiTheme="minorEastAsia" w:cs="Segoe UI"/>
          <w:color w:val="0000FF"/>
          <w:kern w:val="0"/>
          <w:sz w:val="22"/>
        </w:rPr>
        <w:t>第三种观点则认为，加倍债务利息仅以债务本金为计算基数。</w:t>
      </w:r>
      <w:r w:rsidRPr="006B752C">
        <w:rPr>
          <w:rFonts w:asciiTheme="minorEastAsia" w:hAnsiTheme="minorEastAsia" w:cs="Segoe UI"/>
          <w:color w:val="000000"/>
          <w:kern w:val="0"/>
          <w:sz w:val="22"/>
        </w:rPr>
        <w:t>一般债务利息不同于加倍利息，二者在性质、功能等方面均有不同，在确定加倍利息的计算基数时不宜把一般债务利息计算在内。诉讼费等系因程序性事项而产生，非属金钱债务范畴，执行法院在确定加倍利息的计算基数时亦不应包含该类别费用。</w:t>
      </w:r>
    </w:p>
    <w:p w:rsidR="006B752C" w:rsidRDefault="006B752C" w:rsidP="006B752C">
      <w:pPr>
        <w:widowControl/>
        <w:spacing w:line="400" w:lineRule="exact"/>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本文更倾向于第三种观点，多数案件的一般债务利息在迟延履行期间内仍就计算，由于计算迟延期间一般债务利息已经充分保护了债权人的利益，而对债务人的惩罚应当适度，若计算基数再包括履行期限届满前的一般债务利息，将会导致计算结果过高，不符合平等保护当事人权益的要求。</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四</w:t>
      </w:r>
      <w:r w:rsidR="00F30B4F">
        <w:rPr>
          <w:rFonts w:asciiTheme="minorEastAsia" w:hAnsiTheme="minorEastAsia" w:cs="Segoe UI" w:hint="eastAsia"/>
          <w:b/>
          <w:color w:val="C00000"/>
          <w:kern w:val="0"/>
          <w:sz w:val="22"/>
        </w:rPr>
        <w:t xml:space="preserve"> </w:t>
      </w:r>
      <w:r w:rsidRPr="006B752C">
        <w:rPr>
          <w:rFonts w:asciiTheme="minorEastAsia" w:hAnsiTheme="minorEastAsia" w:cs="Segoe UI"/>
          <w:b/>
          <w:bCs/>
          <w:color w:val="C00000"/>
          <w:kern w:val="0"/>
          <w:sz w:val="22"/>
        </w:rPr>
        <w:t>律师建议</w:t>
      </w:r>
    </w:p>
    <w:p w:rsidR="006B752C" w:rsidRDefault="006B752C" w:rsidP="00F30B4F">
      <w:pPr>
        <w:widowControl/>
        <w:spacing w:line="400" w:lineRule="exact"/>
        <w:ind w:firstLineChars="200" w:firstLine="440"/>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首先，在判决生效后，债务人应在生效法律文书所确定的债务范围内积极履行还款义务，以防止因逾期履行等导致所负债务增加。其次，在签订合同时，建议合同双方对还款顺序、偿还方式、时间等进行详细约定，以避免后续合同履行过程中产生争议和不必要的纠纷。最后，迟延履行部分加倍利息计算公式为：生效法律文书确定的本金未给付部分×日万分之一点七五×迟延履行期间。</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五</w:t>
      </w:r>
      <w:r w:rsidR="00F30B4F">
        <w:rPr>
          <w:rFonts w:asciiTheme="minorEastAsia" w:hAnsiTheme="minorEastAsia" w:cs="Segoe UI" w:hint="eastAsia"/>
          <w:b/>
          <w:color w:val="C00000"/>
          <w:kern w:val="0"/>
          <w:sz w:val="22"/>
        </w:rPr>
        <w:t xml:space="preserve"> </w:t>
      </w:r>
      <w:proofErr w:type="gramStart"/>
      <w:r w:rsidRPr="006B752C">
        <w:rPr>
          <w:rFonts w:asciiTheme="minorEastAsia" w:hAnsiTheme="minorEastAsia" w:cs="Segoe UI"/>
          <w:b/>
          <w:bCs/>
          <w:color w:val="C00000"/>
          <w:kern w:val="0"/>
          <w:sz w:val="22"/>
        </w:rPr>
        <w:t>类案参考</w:t>
      </w:r>
      <w:proofErr w:type="gramEnd"/>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案例</w:t>
      </w:r>
      <w:proofErr w:type="gramStart"/>
      <w:r w:rsidRPr="006B752C">
        <w:rPr>
          <w:rFonts w:asciiTheme="minorEastAsia" w:hAnsiTheme="minorEastAsia" w:cs="Segoe UI"/>
          <w:b/>
          <w:bCs/>
          <w:color w:val="000000"/>
          <w:kern w:val="0"/>
          <w:sz w:val="22"/>
        </w:rPr>
        <w:t>一</w:t>
      </w:r>
      <w:proofErr w:type="gramEnd"/>
      <w:r w:rsidR="00F30B4F">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最高人民法院在审理黄经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、廖健雄不当得利纠纷[（2019）最高</w:t>
      </w:r>
      <w:proofErr w:type="gramStart"/>
      <w:r w:rsidRPr="006B752C">
        <w:rPr>
          <w:rFonts w:asciiTheme="minorEastAsia" w:hAnsiTheme="minorEastAsia" w:cs="Segoe UI"/>
          <w:color w:val="000000"/>
          <w:kern w:val="0"/>
          <w:sz w:val="22"/>
        </w:rPr>
        <w:t>法执监494号</w:t>
      </w:r>
      <w:proofErr w:type="gramEnd"/>
      <w:r w:rsidRPr="006B752C">
        <w:rPr>
          <w:rFonts w:asciiTheme="minorEastAsia" w:hAnsiTheme="minorEastAsia" w:cs="Segoe UI"/>
          <w:color w:val="000000"/>
          <w:kern w:val="0"/>
          <w:sz w:val="22"/>
        </w:rPr>
        <w:t>]一案中认为，复利俗称“利滚利”，是对利息再计算利息，属于利息计算的一种特殊情形。为平衡保护债权人与债务人的权益，避免债务因计算复利而快速膨胀，一般仅在当事人有特别约定或存在行业规定、商业习惯时，才允许计算复利。司法实践中，对银行金融借贷以外的领域，总体上不支持计算复利，但如当事人特别约定计算复利且该复利经折算没有超出司法保护利率上限的，则可予以支持。本案中，执行依据中载明“按中国人民银行规定的五年</w:t>
      </w:r>
      <w:proofErr w:type="gramStart"/>
      <w:r w:rsidRPr="006B752C">
        <w:rPr>
          <w:rFonts w:asciiTheme="minorEastAsia" w:hAnsiTheme="minorEastAsia" w:cs="Segoe UI"/>
          <w:color w:val="000000"/>
          <w:kern w:val="0"/>
          <w:sz w:val="22"/>
        </w:rPr>
        <w:t>期贷</w:t>
      </w:r>
      <w:proofErr w:type="gramEnd"/>
      <w:r w:rsidRPr="006B752C">
        <w:rPr>
          <w:rFonts w:asciiTheme="minorEastAsia" w:hAnsiTheme="minorEastAsia" w:cs="Segoe UI"/>
          <w:color w:val="000000"/>
          <w:kern w:val="0"/>
          <w:sz w:val="22"/>
        </w:rPr>
        <w:t>款基准利率计算”</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息，未特别要求按照复利计算</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w:t>
      </w:r>
      <w:proofErr w:type="gramStart"/>
      <w:r w:rsidRPr="006B752C">
        <w:rPr>
          <w:rFonts w:asciiTheme="minorEastAsia" w:hAnsiTheme="minorEastAsia" w:cs="Segoe UI"/>
          <w:color w:val="000000"/>
          <w:kern w:val="0"/>
          <w:sz w:val="22"/>
        </w:rPr>
        <w:t>故申请</w:t>
      </w:r>
      <w:proofErr w:type="gramEnd"/>
      <w:r w:rsidRPr="006B752C">
        <w:rPr>
          <w:rFonts w:asciiTheme="minorEastAsia" w:hAnsiTheme="minorEastAsia" w:cs="Segoe UI"/>
          <w:color w:val="000000"/>
          <w:kern w:val="0"/>
          <w:sz w:val="22"/>
        </w:rPr>
        <w:t>执行人黄经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要求计算复利，欠缺法律依据，与司法实践相悖，不予支持。因黄经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计算复利的主张不能成立，故其要求被执行人支付按照复利计算的</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息在迟延履行期间的一般债务利息、加倍债务利息的主张亦不成立。</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案例二</w:t>
      </w:r>
      <w:r w:rsidR="00F30B4F">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福建省高级人民法院在</w:t>
      </w:r>
      <w:proofErr w:type="gramStart"/>
      <w:r w:rsidRPr="006B752C">
        <w:rPr>
          <w:rFonts w:asciiTheme="minorEastAsia" w:hAnsiTheme="minorEastAsia" w:cs="Segoe UI"/>
          <w:color w:val="000000"/>
          <w:kern w:val="0"/>
          <w:sz w:val="22"/>
        </w:rPr>
        <w:t>审理高美建</w:t>
      </w:r>
      <w:proofErr w:type="gramEnd"/>
      <w:r w:rsidRPr="006B752C">
        <w:rPr>
          <w:rFonts w:asciiTheme="minorEastAsia" w:hAnsiTheme="minorEastAsia" w:cs="Segoe UI"/>
          <w:color w:val="000000"/>
          <w:kern w:val="0"/>
          <w:sz w:val="22"/>
        </w:rPr>
        <w:t>、林传祯股权转让纠纷[（2018）</w:t>
      </w:r>
      <w:proofErr w:type="gramStart"/>
      <w:r w:rsidRPr="006B752C">
        <w:rPr>
          <w:rFonts w:asciiTheme="minorEastAsia" w:hAnsiTheme="minorEastAsia" w:cs="Segoe UI"/>
          <w:color w:val="000000"/>
          <w:kern w:val="0"/>
          <w:sz w:val="22"/>
        </w:rPr>
        <w:t>闽执复</w:t>
      </w:r>
      <w:proofErr w:type="gramEnd"/>
      <w:r w:rsidRPr="006B752C">
        <w:rPr>
          <w:rFonts w:asciiTheme="minorEastAsia" w:hAnsiTheme="minorEastAsia" w:cs="Segoe UI"/>
          <w:color w:val="000000"/>
          <w:kern w:val="0"/>
          <w:sz w:val="22"/>
        </w:rPr>
        <w:t>62号]一案中认为，根据《最高人民法院关于执行程序中计算迟延履行期间的债务利息适用法律若干问题的解释》第一条“加倍计算之后的迟延履行期间的债务利息，包括迟延履行期间的一般债务利息和加倍部分债务利息。迟延履行期间的一般债务利息，根据生效法律文书确定的方法计算；生效法律文书未确定给付该利息的，不予计算。加倍部分债务利息的计算方法为：债务人尚未清偿的生效法律文书确定的除一般债务利息之外的金钱债务×日万分之一点七五×迟延履行期间”之规定，计算迟延履行期间加倍利息的基数为原本之债，并不包括生效法律文书确定了数额的利息，也不包括诉讼费用及鉴定费等。本案中，因</w:t>
      </w:r>
      <w:proofErr w:type="gramStart"/>
      <w:r w:rsidRPr="006B752C">
        <w:rPr>
          <w:rFonts w:asciiTheme="minorEastAsia" w:hAnsiTheme="minorEastAsia" w:cs="Segoe UI"/>
          <w:color w:val="000000"/>
          <w:kern w:val="0"/>
          <w:sz w:val="22"/>
        </w:rPr>
        <w:t>高美建</w:t>
      </w:r>
      <w:proofErr w:type="gramEnd"/>
      <w:r w:rsidRPr="006B752C">
        <w:rPr>
          <w:rFonts w:asciiTheme="minorEastAsia" w:hAnsiTheme="minorEastAsia" w:cs="Segoe UI"/>
          <w:color w:val="000000"/>
          <w:kern w:val="0"/>
          <w:sz w:val="22"/>
        </w:rPr>
        <w:t>已全额支付了股权转让款，即原本之</w:t>
      </w:r>
      <w:proofErr w:type="gramStart"/>
      <w:r w:rsidRPr="006B752C">
        <w:rPr>
          <w:rFonts w:asciiTheme="minorEastAsia" w:hAnsiTheme="minorEastAsia" w:cs="Segoe UI"/>
          <w:color w:val="000000"/>
          <w:kern w:val="0"/>
          <w:sz w:val="22"/>
        </w:rPr>
        <w:t>债已经</w:t>
      </w:r>
      <w:proofErr w:type="gramEnd"/>
      <w:r w:rsidRPr="006B752C">
        <w:rPr>
          <w:rFonts w:asciiTheme="minorEastAsia" w:hAnsiTheme="minorEastAsia" w:cs="Segoe UI"/>
          <w:color w:val="000000"/>
          <w:kern w:val="0"/>
          <w:sz w:val="22"/>
        </w:rPr>
        <w:t>清偿完毕，计算迟延履行期间加倍利息的基数也就不再存在。（2016）</w:t>
      </w:r>
      <w:proofErr w:type="gramStart"/>
      <w:r w:rsidRPr="006B752C">
        <w:rPr>
          <w:rFonts w:asciiTheme="minorEastAsia" w:hAnsiTheme="minorEastAsia" w:cs="Segoe UI"/>
          <w:color w:val="000000"/>
          <w:kern w:val="0"/>
          <w:sz w:val="22"/>
        </w:rPr>
        <w:t>榕</w:t>
      </w:r>
      <w:proofErr w:type="gramEnd"/>
      <w:r w:rsidRPr="006B752C">
        <w:rPr>
          <w:rFonts w:asciiTheme="minorEastAsia" w:hAnsiTheme="minorEastAsia" w:cs="Segoe UI"/>
          <w:color w:val="000000"/>
          <w:kern w:val="0"/>
          <w:sz w:val="22"/>
        </w:rPr>
        <w:t>仲裁字第195号裁决所确定</w:t>
      </w:r>
      <w:proofErr w:type="gramStart"/>
      <w:r w:rsidRPr="006B752C">
        <w:rPr>
          <w:rFonts w:asciiTheme="minorEastAsia" w:hAnsiTheme="minorEastAsia" w:cs="Segoe UI"/>
          <w:color w:val="000000"/>
          <w:kern w:val="0"/>
          <w:sz w:val="22"/>
        </w:rPr>
        <w:t>高美建应</w:t>
      </w:r>
      <w:proofErr w:type="gramEnd"/>
      <w:r w:rsidRPr="006B752C">
        <w:rPr>
          <w:rFonts w:asciiTheme="minorEastAsia" w:hAnsiTheme="minorEastAsia" w:cs="Segoe UI"/>
          <w:color w:val="000000"/>
          <w:kern w:val="0"/>
          <w:sz w:val="22"/>
        </w:rPr>
        <w:t>支付的股权转让期间利息1338206.85元及逾期付款违约金2599127.95元，均为一般债务利息，不能作为计算迟延履行期间加倍利息的基数，故本案无迟延履行债务利息可执行。复议申请人高美建的复议请求于法有据，本院予以支持。</w:t>
      </w:r>
    </w:p>
    <w:p w:rsidR="006B752C" w:rsidRDefault="006B752C" w:rsidP="006B752C">
      <w:pPr>
        <w:widowControl/>
        <w:spacing w:line="400" w:lineRule="exact"/>
        <w:jc w:val="left"/>
        <w:rPr>
          <w:rFonts w:asciiTheme="minorEastAsia" w:hAnsiTheme="minorEastAsia" w:cs="Segoe UI" w:hint="eastAsia"/>
          <w:color w:val="000000"/>
          <w:kern w:val="0"/>
          <w:sz w:val="22"/>
        </w:rPr>
      </w:pPr>
      <w:r w:rsidRPr="006B752C">
        <w:rPr>
          <w:rFonts w:asciiTheme="minorEastAsia" w:hAnsiTheme="minorEastAsia" w:cs="Segoe UI"/>
          <w:b/>
          <w:bCs/>
          <w:color w:val="000000"/>
          <w:kern w:val="0"/>
          <w:sz w:val="22"/>
        </w:rPr>
        <w:t>案例三</w:t>
      </w:r>
      <w:r w:rsidR="00F30B4F">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上海市高级人民法院在审理刘婧、王昊等股东滥用股东权利赔偿纠纷[（2016）</w:t>
      </w:r>
      <w:proofErr w:type="gramStart"/>
      <w:r w:rsidRPr="006B752C">
        <w:rPr>
          <w:rFonts w:asciiTheme="minorEastAsia" w:hAnsiTheme="minorEastAsia" w:cs="Segoe UI"/>
          <w:color w:val="000000"/>
          <w:kern w:val="0"/>
          <w:sz w:val="22"/>
        </w:rPr>
        <w:t>沪执复</w:t>
      </w:r>
      <w:proofErr w:type="gramEnd"/>
      <w:r w:rsidRPr="006B752C">
        <w:rPr>
          <w:rFonts w:asciiTheme="minorEastAsia" w:hAnsiTheme="minorEastAsia" w:cs="Segoe UI"/>
          <w:color w:val="000000"/>
          <w:kern w:val="0"/>
          <w:sz w:val="22"/>
        </w:rPr>
        <w:t>3号]一案中认为，本案的争议焦点为：生效法律文书指定履行期间届满前的债务利息是否作为迟延履行期间的加倍利息计算</w:t>
      </w:r>
      <w:r w:rsidRPr="006B752C">
        <w:rPr>
          <w:rFonts w:asciiTheme="minorEastAsia" w:hAnsiTheme="minorEastAsia" w:cs="Segoe UI"/>
          <w:color w:val="000000"/>
          <w:kern w:val="0"/>
          <w:sz w:val="22"/>
        </w:rPr>
        <w:lastRenderedPageBreak/>
        <w:t>基数。结合相关司法解释规定，本案中，2013年3月11日至2014年7月31日期间的加倍债务利息计算基数应包括原本之债和判决指定履行期间届满前的债务利息。2014年8月1日起的加倍部分债务利息的基数计算应按照《解释》规定执行，基数不应包含判决指定履行期间届满前的债务利息，即加倍部分债务利息＝债务人尚未清偿的生效法律文书确定的除一般债务利息之外的金钱债务×日万分之一点七五×迟延履行期间。一中院在2013年3月11日至2014年7月31日期间的加倍债务利息计算基数中未将判决指定履行期间届满前的2008年5月28日至2013年3月10日期间的债务利息作为迟延履行期间加倍利息的基数予以计算，不符合上述有关规定，应予纠正。申请复议人主张该期间的债务利息应作为迟延履行期间加倍利息的基数予以计算理由成立，本院予以支持，但其主张对2014年8月1日至2014年9月5日期间的加倍债务利息基数计算亦包含判决指定履行期间届满前的债务利息无法律依据，本院不予支持。</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六</w:t>
      </w:r>
      <w:r w:rsidR="00F30B4F">
        <w:rPr>
          <w:rFonts w:asciiTheme="minorEastAsia" w:hAnsiTheme="minorEastAsia" w:cs="Segoe UI" w:hint="eastAsia"/>
          <w:b/>
          <w:color w:val="C00000"/>
          <w:kern w:val="0"/>
          <w:sz w:val="22"/>
        </w:rPr>
        <w:t xml:space="preserve"> </w:t>
      </w:r>
      <w:r w:rsidRPr="006B752C">
        <w:rPr>
          <w:rFonts w:asciiTheme="minorEastAsia" w:hAnsiTheme="minorEastAsia" w:cs="Segoe UI"/>
          <w:b/>
          <w:bCs/>
          <w:color w:val="C00000"/>
          <w:kern w:val="0"/>
          <w:sz w:val="22"/>
        </w:rPr>
        <w:t>法条链接</w:t>
      </w: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1.中华人民共和国民事诉讼法(2021修正)</w:t>
      </w:r>
    </w:p>
    <w:p w:rsidR="006B752C" w:rsidRDefault="006B752C" w:rsidP="006B752C">
      <w:pPr>
        <w:widowControl/>
        <w:spacing w:line="400" w:lineRule="exact"/>
        <w:jc w:val="left"/>
        <w:rPr>
          <w:rFonts w:asciiTheme="minorEastAsia" w:hAnsiTheme="minorEastAsia" w:cs="Segoe UI" w:hint="eastAsia"/>
          <w:color w:val="000000"/>
          <w:kern w:val="0"/>
          <w:sz w:val="22"/>
        </w:rPr>
      </w:pPr>
      <w:r w:rsidRPr="006B752C">
        <w:rPr>
          <w:rFonts w:asciiTheme="minorEastAsia" w:hAnsiTheme="minorEastAsia" w:cs="Segoe UI"/>
          <w:b/>
          <w:bCs/>
          <w:color w:val="000000"/>
          <w:kern w:val="0"/>
          <w:sz w:val="22"/>
        </w:rPr>
        <w:t>第二百六十条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被执行人未按判决、裁定和其他法律文书指定的期间履行给付金钱义务的，应当加倍支付迟延履行期间的债务利息。被执行人未按判决、裁定和其他法律文书指定的期间履行其他义务的，应当支付迟延履行金。</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2.最高人民法院关于适用《中华人民共和国民事诉讼法》的解释（2020修正）</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第五百零六条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被执行人迟延履行的，迟延履行期间的利息或者迟延履行金自判决、裁定和其他法律文书指定的履行期间届满之日起计算。</w:t>
      </w:r>
    </w:p>
    <w:p w:rsidR="006B752C" w:rsidRDefault="006B752C" w:rsidP="006B752C">
      <w:pPr>
        <w:widowControl/>
        <w:spacing w:line="400" w:lineRule="exact"/>
        <w:jc w:val="left"/>
        <w:rPr>
          <w:rFonts w:asciiTheme="minorEastAsia" w:hAnsiTheme="minorEastAsia" w:cs="Segoe UI" w:hint="eastAsia"/>
          <w:color w:val="000000"/>
          <w:kern w:val="0"/>
          <w:sz w:val="22"/>
        </w:rPr>
      </w:pPr>
      <w:r w:rsidRPr="006B752C">
        <w:rPr>
          <w:rFonts w:asciiTheme="minorEastAsia" w:hAnsiTheme="minorEastAsia" w:cs="Segoe UI"/>
          <w:b/>
          <w:bCs/>
          <w:color w:val="000000"/>
          <w:kern w:val="0"/>
          <w:sz w:val="22"/>
        </w:rPr>
        <w:t>第五百零七条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F30B4F" w:rsidRPr="006B752C" w:rsidRDefault="00F30B4F" w:rsidP="006B752C">
      <w:pPr>
        <w:widowControl/>
        <w:spacing w:line="400" w:lineRule="exact"/>
        <w:jc w:val="left"/>
        <w:rPr>
          <w:rFonts w:asciiTheme="minorEastAsia" w:hAnsiTheme="minorEastAsia" w:cs="Segoe UI"/>
          <w:color w:val="000000"/>
          <w:kern w:val="0"/>
          <w:sz w:val="22"/>
        </w:rPr>
      </w:pP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3.《最高人民法院关于执行程序中计算迟延履行期间的债务利息适用法律若干问题的解释》</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第一条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根据民事诉讼法第二百五十三条规定加倍计算之后的迟延履行期间的债务利息，包括迟延履行期间的一般债务利息和加倍部分债务利息。</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迟延履行期间的一般债务利息，根据生效法律文书确定的方法计算；生效法律文书未确定给付该利息的，不予计算。</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加倍部分债务利息的计算方法为：加倍部分债务利息＝债务人尚未清偿的生效法律文书确定的除一般债务利息之外的金钱债务×日万分之一点七五×迟延履行期间。</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第二条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加倍部分债务利息自生效法律文书确定的履行期间届满之日起计算；生效法律文书确定分期履行的，自每次履行期间届满之日起计算；生效法律文书未确定履行期间的，自法律文书生效之日起计算。</w:t>
      </w:r>
    </w:p>
    <w:p w:rsidR="0002238A" w:rsidRDefault="0002238A"/>
    <w:sectPr w:rsidR="0002238A" w:rsidSect="006B752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D0" w:rsidRDefault="000922D0" w:rsidP="00782748">
      <w:r>
        <w:separator/>
      </w:r>
    </w:p>
  </w:endnote>
  <w:endnote w:type="continuationSeparator" w:id="0">
    <w:p w:rsidR="000922D0" w:rsidRDefault="000922D0" w:rsidP="00782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D0" w:rsidRDefault="000922D0" w:rsidP="00782748">
      <w:r>
        <w:separator/>
      </w:r>
    </w:p>
  </w:footnote>
  <w:footnote w:type="continuationSeparator" w:id="0">
    <w:p w:rsidR="000922D0" w:rsidRDefault="000922D0" w:rsidP="00782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52C"/>
    <w:rsid w:val="0002238A"/>
    <w:rsid w:val="000922D0"/>
    <w:rsid w:val="004E36DA"/>
    <w:rsid w:val="006B752C"/>
    <w:rsid w:val="00782748"/>
    <w:rsid w:val="007D3BF5"/>
    <w:rsid w:val="00D26913"/>
    <w:rsid w:val="00D6156A"/>
    <w:rsid w:val="00F30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8A"/>
    <w:pPr>
      <w:widowControl w:val="0"/>
      <w:jc w:val="both"/>
    </w:pPr>
  </w:style>
  <w:style w:type="paragraph" w:styleId="1">
    <w:name w:val="heading 1"/>
    <w:basedOn w:val="a"/>
    <w:link w:val="1Char"/>
    <w:uiPriority w:val="9"/>
    <w:qFormat/>
    <w:rsid w:val="006B75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752C"/>
    <w:rPr>
      <w:rFonts w:ascii="宋体" w:eastAsia="宋体" w:hAnsi="宋体" w:cs="宋体"/>
      <w:b/>
      <w:bCs/>
      <w:kern w:val="36"/>
      <w:sz w:val="48"/>
      <w:szCs w:val="48"/>
    </w:rPr>
  </w:style>
  <w:style w:type="character" w:styleId="a3">
    <w:name w:val="Hyperlink"/>
    <w:basedOn w:val="a0"/>
    <w:uiPriority w:val="99"/>
    <w:semiHidden/>
    <w:unhideWhenUsed/>
    <w:rsid w:val="006B752C"/>
    <w:rPr>
      <w:color w:val="0000FF"/>
      <w:u w:val="single"/>
    </w:rPr>
  </w:style>
  <w:style w:type="character" w:customStyle="1" w:styleId="qiehao">
    <w:name w:val="qiehao"/>
    <w:basedOn w:val="a0"/>
    <w:rsid w:val="006B752C"/>
  </w:style>
  <w:style w:type="paragraph" w:customStyle="1" w:styleId="one-p">
    <w:name w:val="one-p"/>
    <w:basedOn w:val="a"/>
    <w:rsid w:val="006B75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752C"/>
    <w:rPr>
      <w:b/>
      <w:bCs/>
    </w:rPr>
  </w:style>
  <w:style w:type="paragraph" w:styleId="a5">
    <w:name w:val="Balloon Text"/>
    <w:basedOn w:val="a"/>
    <w:link w:val="Char"/>
    <w:uiPriority w:val="99"/>
    <w:semiHidden/>
    <w:unhideWhenUsed/>
    <w:rsid w:val="006B752C"/>
    <w:rPr>
      <w:sz w:val="18"/>
      <w:szCs w:val="18"/>
    </w:rPr>
  </w:style>
  <w:style w:type="character" w:customStyle="1" w:styleId="Char">
    <w:name w:val="批注框文本 Char"/>
    <w:basedOn w:val="a0"/>
    <w:link w:val="a5"/>
    <w:uiPriority w:val="99"/>
    <w:semiHidden/>
    <w:rsid w:val="006B752C"/>
    <w:rPr>
      <w:sz w:val="18"/>
      <w:szCs w:val="18"/>
    </w:rPr>
  </w:style>
  <w:style w:type="paragraph" w:styleId="a6">
    <w:name w:val="header"/>
    <w:basedOn w:val="a"/>
    <w:link w:val="Char0"/>
    <w:uiPriority w:val="99"/>
    <w:semiHidden/>
    <w:unhideWhenUsed/>
    <w:rsid w:val="007827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82748"/>
    <w:rPr>
      <w:sz w:val="18"/>
      <w:szCs w:val="18"/>
    </w:rPr>
  </w:style>
  <w:style w:type="paragraph" w:styleId="a7">
    <w:name w:val="footer"/>
    <w:basedOn w:val="a"/>
    <w:link w:val="Char1"/>
    <w:uiPriority w:val="99"/>
    <w:semiHidden/>
    <w:unhideWhenUsed/>
    <w:rsid w:val="0078274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82748"/>
    <w:rPr>
      <w:sz w:val="18"/>
      <w:szCs w:val="18"/>
    </w:rPr>
  </w:style>
</w:styles>
</file>

<file path=word/webSettings.xml><?xml version="1.0" encoding="utf-8"?>
<w:webSettings xmlns:r="http://schemas.openxmlformats.org/officeDocument/2006/relationships" xmlns:w="http://schemas.openxmlformats.org/wordprocessingml/2006/main">
  <w:divs>
    <w:div w:id="1969507402">
      <w:bodyDiv w:val="1"/>
      <w:marLeft w:val="0"/>
      <w:marRight w:val="0"/>
      <w:marTop w:val="0"/>
      <w:marBottom w:val="0"/>
      <w:divBdr>
        <w:top w:val="none" w:sz="0" w:space="0" w:color="auto"/>
        <w:left w:val="none" w:sz="0" w:space="0" w:color="auto"/>
        <w:bottom w:val="none" w:sz="0" w:space="0" w:color="auto"/>
        <w:right w:val="none" w:sz="0" w:space="0" w:color="auto"/>
      </w:divBdr>
      <w:divsChild>
        <w:div w:id="1148205400">
          <w:marLeft w:val="0"/>
          <w:marRight w:val="0"/>
          <w:marTop w:val="0"/>
          <w:marBottom w:val="0"/>
          <w:divBdr>
            <w:top w:val="none" w:sz="0" w:space="0" w:color="auto"/>
            <w:left w:val="none" w:sz="0" w:space="0" w:color="auto"/>
            <w:bottom w:val="none" w:sz="0" w:space="0" w:color="auto"/>
            <w:right w:val="none" w:sz="0" w:space="0" w:color="auto"/>
          </w:divBdr>
          <w:divsChild>
            <w:div w:id="473528941">
              <w:marLeft w:val="0"/>
              <w:marRight w:val="450"/>
              <w:marTop w:val="0"/>
              <w:marBottom w:val="0"/>
              <w:divBdr>
                <w:top w:val="none" w:sz="0" w:space="0" w:color="auto"/>
                <w:left w:val="none" w:sz="0" w:space="0" w:color="auto"/>
                <w:bottom w:val="none" w:sz="0" w:space="0" w:color="auto"/>
                <w:right w:val="none" w:sz="0" w:space="0" w:color="auto"/>
              </w:divBdr>
              <w:divsChild>
                <w:div w:id="1708928">
                  <w:marLeft w:val="0"/>
                  <w:marRight w:val="0"/>
                  <w:marTop w:val="0"/>
                  <w:marBottom w:val="0"/>
                  <w:divBdr>
                    <w:top w:val="none" w:sz="0" w:space="0" w:color="auto"/>
                    <w:left w:val="none" w:sz="0" w:space="0" w:color="auto"/>
                    <w:bottom w:val="none" w:sz="0" w:space="0" w:color="auto"/>
                    <w:right w:val="none" w:sz="0" w:space="0" w:color="auto"/>
                  </w:divBdr>
                  <w:divsChild>
                    <w:div w:id="1120302722">
                      <w:marLeft w:val="0"/>
                      <w:marRight w:val="0"/>
                      <w:marTop w:val="0"/>
                      <w:marBottom w:val="0"/>
                      <w:divBdr>
                        <w:top w:val="none" w:sz="0" w:space="0" w:color="auto"/>
                        <w:left w:val="none" w:sz="0" w:space="0" w:color="auto"/>
                        <w:bottom w:val="none" w:sz="0" w:space="0" w:color="auto"/>
                        <w:right w:val="none" w:sz="0" w:space="0" w:color="auto"/>
                      </w:divBdr>
                    </w:div>
                    <w:div w:id="2092040347">
                      <w:marLeft w:val="0"/>
                      <w:marRight w:val="0"/>
                      <w:marTop w:val="0"/>
                      <w:marBottom w:val="0"/>
                      <w:divBdr>
                        <w:top w:val="none" w:sz="0" w:space="0" w:color="auto"/>
                        <w:left w:val="none" w:sz="0" w:space="0" w:color="auto"/>
                        <w:bottom w:val="none" w:sz="0" w:space="0" w:color="auto"/>
                        <w:right w:val="none" w:sz="0" w:space="0" w:color="auto"/>
                      </w:divBdr>
                    </w:div>
                    <w:div w:id="1398749842">
                      <w:marLeft w:val="0"/>
                      <w:marRight w:val="0"/>
                      <w:marTop w:val="0"/>
                      <w:marBottom w:val="375"/>
                      <w:divBdr>
                        <w:top w:val="none" w:sz="0" w:space="0" w:color="auto"/>
                        <w:left w:val="none" w:sz="0" w:space="0" w:color="auto"/>
                        <w:bottom w:val="none" w:sz="0" w:space="0" w:color="auto"/>
                        <w:right w:val="none" w:sz="0" w:space="0" w:color="auto"/>
                      </w:divBdr>
                    </w:div>
                    <w:div w:id="69935972">
                      <w:marLeft w:val="0"/>
                      <w:marRight w:val="0"/>
                      <w:marTop w:val="0"/>
                      <w:marBottom w:val="0"/>
                      <w:divBdr>
                        <w:top w:val="none" w:sz="0" w:space="0" w:color="auto"/>
                        <w:left w:val="none" w:sz="0" w:space="0" w:color="auto"/>
                        <w:bottom w:val="none" w:sz="0" w:space="0" w:color="auto"/>
                        <w:right w:val="none" w:sz="0" w:space="0" w:color="auto"/>
                      </w:divBdr>
                      <w:divsChild>
                        <w:div w:id="200821105">
                          <w:marLeft w:val="0"/>
                          <w:marRight w:val="0"/>
                          <w:marTop w:val="0"/>
                          <w:marBottom w:val="0"/>
                          <w:divBdr>
                            <w:top w:val="none" w:sz="0" w:space="0" w:color="auto"/>
                            <w:left w:val="none" w:sz="0" w:space="0" w:color="auto"/>
                            <w:bottom w:val="none" w:sz="0" w:space="0" w:color="auto"/>
                            <w:right w:val="none" w:sz="0" w:space="0" w:color="auto"/>
                          </w:divBdr>
                        </w:div>
                      </w:divsChild>
                    </w:div>
                    <w:div w:id="1306427047">
                      <w:marLeft w:val="0"/>
                      <w:marRight w:val="0"/>
                      <w:marTop w:val="1500"/>
                      <w:marBottom w:val="270"/>
                      <w:divBdr>
                        <w:top w:val="none" w:sz="0" w:space="0" w:color="auto"/>
                        <w:left w:val="none" w:sz="0" w:space="0" w:color="auto"/>
                        <w:bottom w:val="none" w:sz="0" w:space="0" w:color="auto"/>
                        <w:right w:val="none" w:sz="0" w:space="0" w:color="auto"/>
                      </w:divBdr>
                    </w:div>
                  </w:divsChild>
                </w:div>
              </w:divsChild>
            </w:div>
            <w:div w:id="11464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576</Words>
  <Characters>3288</Characters>
  <Application>Microsoft Office Word</Application>
  <DocSecurity>0</DocSecurity>
  <Lines>27</Lines>
  <Paragraphs>7</Paragraphs>
  <ScaleCrop>false</ScaleCrop>
  <Company>新大榭</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6</cp:revision>
  <dcterms:created xsi:type="dcterms:W3CDTF">2023-02-13T14:31:00Z</dcterms:created>
  <dcterms:modified xsi:type="dcterms:W3CDTF">2023-03-22T14:37:00Z</dcterms:modified>
</cp:coreProperties>
</file>