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E" w:rsidRDefault="00441FFE" w:rsidP="00441FFE">
      <w:pPr>
        <w:pStyle w:val="p2"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Style w:val="s1"/>
          <w:rFonts w:ascii="仿宋" w:eastAsia="仿宋" w:hAnsi="仿宋" w:hint="eastAsia"/>
          <w:b/>
          <w:bCs/>
          <w:color w:val="464B4F"/>
          <w:sz w:val="44"/>
          <w:szCs w:val="44"/>
          <w:bdr w:val="none" w:sz="0" w:space="0" w:color="auto" w:frame="1"/>
        </w:rPr>
      </w:pPr>
    </w:p>
    <w:p w:rsidR="00441FFE" w:rsidRPr="0050230A" w:rsidRDefault="00441FFE" w:rsidP="00441FFE">
      <w:pPr>
        <w:pStyle w:val="p2"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Fonts w:ascii="仿宋" w:eastAsia="仿宋" w:hAnsi="仿宋"/>
          <w:sz w:val="44"/>
          <w:szCs w:val="44"/>
        </w:rPr>
      </w:pPr>
      <w:r w:rsidRPr="0050230A">
        <w:rPr>
          <w:rStyle w:val="s1"/>
          <w:rFonts w:ascii="仿宋" w:eastAsia="仿宋" w:hAnsi="仿宋" w:hint="eastAsia"/>
          <w:b/>
          <w:bCs/>
          <w:sz w:val="44"/>
          <w:szCs w:val="44"/>
          <w:bdr w:val="none" w:sz="0" w:space="0" w:color="auto" w:frame="1"/>
        </w:rPr>
        <w:t>诉讼费用交纳标准及简便计算式</w:t>
      </w:r>
    </w:p>
    <w:p w:rsidR="00441FFE" w:rsidRDefault="00441FFE" w:rsidP="00441FFE">
      <w:pPr>
        <w:pStyle w:val="p6"/>
        <w:shd w:val="clear" w:color="auto" w:fill="FFFFFF"/>
        <w:spacing w:before="0" w:beforeAutospacing="0" w:after="0" w:afterAutospacing="0" w:line="510" w:lineRule="atLeast"/>
        <w:ind w:firstLine="480"/>
        <w:jc w:val="center"/>
        <w:rPr>
          <w:rFonts w:ascii="仿宋" w:eastAsia="仿宋" w:hAnsi="仿宋" w:hint="eastAsia"/>
          <w:sz w:val="28"/>
          <w:szCs w:val="28"/>
          <w:bdr w:val="none" w:sz="0" w:space="0" w:color="auto" w:frame="1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2007年4月1日起执行(计算单位:人民币)</w:t>
      </w:r>
    </w:p>
    <w:p w:rsidR="0050230A" w:rsidRPr="0050230A" w:rsidRDefault="0050230A" w:rsidP="0050230A">
      <w:pPr>
        <w:pStyle w:val="p6"/>
        <w:shd w:val="clear" w:color="auto" w:fill="FFFFFF"/>
        <w:spacing w:before="0" w:beforeAutospacing="0" w:after="0" w:afterAutospacing="0" w:line="60" w:lineRule="atLeast"/>
        <w:ind w:firstLine="482"/>
        <w:jc w:val="center"/>
        <w:rPr>
          <w:rFonts w:ascii="仿宋" w:eastAsia="仿宋" w:hAnsi="仿宋" w:hint="eastAsia"/>
          <w:sz w:val="18"/>
          <w:szCs w:val="18"/>
        </w:rPr>
      </w:pPr>
    </w:p>
    <w:p w:rsidR="00441FFE" w:rsidRPr="0050230A" w:rsidRDefault="00441FFE" w:rsidP="00441FFE">
      <w:pPr>
        <w:pStyle w:val="p7"/>
        <w:shd w:val="clear" w:color="auto" w:fill="FFFFFF"/>
        <w:spacing w:before="0" w:beforeAutospacing="0" w:after="0" w:afterAutospacing="0" w:line="510" w:lineRule="atLeast"/>
        <w:ind w:left="510" w:hanging="51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Style w:val="s2"/>
          <w:rFonts w:ascii="仿宋" w:eastAsia="仿宋" w:hAnsi="仿宋" w:hint="eastAsia"/>
          <w:sz w:val="28"/>
          <w:szCs w:val="28"/>
          <w:bdr w:val="none" w:sz="0" w:space="0" w:color="auto" w:frame="1"/>
        </w:rPr>
        <w:t>(1)</w:t>
      </w:r>
      <w:r w:rsidRPr="0050230A">
        <w:rPr>
          <w:rStyle w:val="s2"/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财产案件(S为应收受理费或申请费;A为诉讼或申请标的额。下同)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1、标的额不超过1万元的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＝50元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2、标的额1万元以上至10万元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＝A×2.5％－200元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3、标的额10万元以上至20万元          S＝A×2％＋300元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4、标的额20万元以上至50万元          S＝A×1.5％＋1300元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5、标的额50万元以上至100万元         S＝A×1％＋3800元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6、标的额100万元以上至200万元        S＝A×0.9％＋4800元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7、标的额200万元以上至500万元        S＝A×0.8％＋6800元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8、标的额500万元以上至1000万元       S＝A×0.7％＋11800元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9、标的额1000万元以上至2000万元      S＝A×0.6％＋21800元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10、标的额2000万元以上的              S＝A×0.5％＋41800元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（二）非财产案件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1、离婚案件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①不涉及财产分割或分割财产总额不超过20万元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＝50至300元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②分割财产总额超过20万元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       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＝A×0.5％－﹙950至700﹚元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2、人格权案件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①不涉及损害赔偿或赔偿金额不超过5万元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＝100至500元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②赔偿金额不超过5万元以上至10万元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＝A×1％－﹙400至0﹚元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③赔偿金额10万元以上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    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＝A×0.5％＋﹙100至500﹚元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3、其他非财产案件每件交纳50至100元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（三）知识产权案件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lastRenderedPageBreak/>
        <w:t>无争议金额或价额的每件交纳500至1000元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有争议金额或价额的按财产案件标准交纳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（四）劳动争议案件每件交纳10元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（五）行政案件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商标、专利、海事行政案件每件交纳100元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其他行政案件每件交纳50元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（六）当事人提出管辖权异议案件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异议不成立的每件交纳50元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（七）执行案件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①没有执行金额或价额的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＝50至500元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②执行金额或价额不超过1万元的             S＝50元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③执行金额或价额1万元以上至50万元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＝A×1.5％－100元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④执行金额或价额50万元以上至500万元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＝A×1％＋2400元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⑤执行金额或价额500万元以上至1000万元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 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＝A×0.5％＋27400元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⑥执行金额或价额1000万元以上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＝A×0.1％＋67400元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（八）申请保全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①不涉及财产数额或财产数额不超过1000元的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＝30元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②财产数额1000元以上至10万元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 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＝A×1％＋20元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 xml:space="preserve">③财产数额10万元以上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> 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 xml:space="preserve"> </w:t>
      </w:r>
      <w:r w:rsidRPr="0050230A">
        <w:rPr>
          <w:rFonts w:hint="eastAsia"/>
          <w:sz w:val="28"/>
          <w:szCs w:val="28"/>
          <w:bdr w:val="none" w:sz="0" w:space="0" w:color="auto" w:frame="1"/>
        </w:rPr>
        <w:t xml:space="preserve">      </w:t>
      </w:r>
      <w:r w:rsidRPr="0050230A">
        <w:rPr>
          <w:rFonts w:ascii="仿宋" w:eastAsia="仿宋" w:hAnsi="仿宋" w:cs="仿宋" w:hint="eastAsia"/>
          <w:sz w:val="28"/>
          <w:szCs w:val="28"/>
          <w:bdr w:val="none" w:sz="0" w:space="0" w:color="auto" w:frame="1"/>
        </w:rPr>
        <w:t>S</w:t>
      </w: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＝A×0.5％＋520元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保全交费最多不超过5000元</w:t>
      </w:r>
    </w:p>
    <w:p w:rsidR="00441FFE" w:rsidRPr="0050230A" w:rsidRDefault="00441FFE" w:rsidP="00441FFE">
      <w:pPr>
        <w:pStyle w:val="p4"/>
        <w:shd w:val="clear" w:color="auto" w:fill="FFFFFF"/>
        <w:spacing w:before="0" w:beforeAutospacing="0" w:after="0" w:afterAutospacing="0" w:line="510" w:lineRule="atLeast"/>
        <w:ind w:firstLine="480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（九）其他</w:t>
      </w:r>
    </w:p>
    <w:p w:rsidR="00441FFE" w:rsidRPr="0050230A" w:rsidRDefault="00441FFE" w:rsidP="00441FFE">
      <w:pPr>
        <w:pStyle w:val="p3"/>
        <w:shd w:val="clear" w:color="auto" w:fill="FFFFFF"/>
        <w:spacing w:before="0" w:beforeAutospacing="0" w:after="0" w:afterAutospacing="0" w:line="510" w:lineRule="atLeast"/>
        <w:ind w:firstLine="559"/>
        <w:jc w:val="both"/>
        <w:rPr>
          <w:rFonts w:ascii="仿宋" w:eastAsia="仿宋" w:hAnsi="仿宋" w:hint="eastAsia"/>
          <w:sz w:val="28"/>
          <w:szCs w:val="28"/>
        </w:rPr>
      </w:pPr>
      <w:r w:rsidRPr="0050230A">
        <w:rPr>
          <w:rFonts w:ascii="仿宋" w:eastAsia="仿宋" w:hAnsi="仿宋" w:hint="eastAsia"/>
          <w:sz w:val="28"/>
          <w:szCs w:val="28"/>
          <w:bdr w:val="none" w:sz="0" w:space="0" w:color="auto" w:frame="1"/>
        </w:rPr>
        <w:t>支付令案件比照财产案件受理费标准的1／3交纳；公示催告案件每件交纳100元；申请认定或撤销仲裁裁决效力案件每件交纳400元；破产案件以破产财产总额按财产案件受理费标准减半交纳，但最高不超过30万元。</w:t>
      </w:r>
    </w:p>
    <w:p w:rsidR="00DB5464" w:rsidRPr="0050230A" w:rsidRDefault="00DB5464"/>
    <w:sectPr w:rsidR="00DB5464" w:rsidRPr="0050230A" w:rsidSect="00441F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FFE"/>
    <w:rsid w:val="00441FFE"/>
    <w:rsid w:val="0050230A"/>
    <w:rsid w:val="00DB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41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441FFE"/>
  </w:style>
  <w:style w:type="paragraph" w:customStyle="1" w:styleId="p6">
    <w:name w:val="p6"/>
    <w:basedOn w:val="a"/>
    <w:rsid w:val="00441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7">
    <w:name w:val="p7"/>
    <w:basedOn w:val="a"/>
    <w:rsid w:val="00441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441FFE"/>
  </w:style>
  <w:style w:type="paragraph" w:customStyle="1" w:styleId="p4">
    <w:name w:val="p4"/>
    <w:basedOn w:val="a"/>
    <w:rsid w:val="00441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441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1135</Characters>
  <Application>Microsoft Office Word</Application>
  <DocSecurity>0</DocSecurity>
  <Lines>9</Lines>
  <Paragraphs>2</Paragraphs>
  <ScaleCrop>false</ScaleCrop>
  <Company>Newdaxie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</cp:revision>
  <dcterms:created xsi:type="dcterms:W3CDTF">2023-02-07T06:48:00Z</dcterms:created>
  <dcterms:modified xsi:type="dcterms:W3CDTF">2023-02-07T06:53:00Z</dcterms:modified>
</cp:coreProperties>
</file>