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A3" w:rsidRDefault="00AE54A3" w:rsidP="00244450">
      <w:pPr>
        <w:pStyle w:val="a6"/>
        <w:spacing w:line="520" w:lineRule="exact"/>
        <w:jc w:val="center"/>
        <w:rPr>
          <w:rFonts w:ascii="微软雅黑" w:eastAsia="微软雅黑" w:hAnsi="微软雅黑" w:cs="宋体" w:hint="eastAsia"/>
          <w:b/>
          <w:color w:val="7030A0"/>
          <w:sz w:val="40"/>
          <w:szCs w:val="40"/>
        </w:rPr>
      </w:pPr>
    </w:p>
    <w:p w:rsidR="00B85158" w:rsidRPr="00AE54A3" w:rsidRDefault="00B85158" w:rsidP="00244450">
      <w:pPr>
        <w:pStyle w:val="a6"/>
        <w:spacing w:line="520" w:lineRule="exact"/>
        <w:jc w:val="center"/>
        <w:rPr>
          <w:rFonts w:ascii="微软雅黑" w:eastAsia="微软雅黑" w:hAnsi="微软雅黑" w:cs="宋体"/>
          <w:b/>
          <w:color w:val="7030A0"/>
          <w:sz w:val="40"/>
          <w:szCs w:val="40"/>
        </w:rPr>
      </w:pPr>
      <w:r w:rsidRPr="00AE54A3">
        <w:rPr>
          <w:rFonts w:ascii="微软雅黑" w:eastAsia="微软雅黑" w:hAnsi="微软雅黑" w:cs="宋体" w:hint="eastAsia"/>
          <w:b/>
          <w:color w:val="7030A0"/>
          <w:sz w:val="40"/>
          <w:szCs w:val="40"/>
        </w:rPr>
        <w:t>最高人民法院关于适用简易程序审理民事案件的若干规定</w:t>
      </w:r>
    </w:p>
    <w:p w:rsidR="00B85158" w:rsidRPr="00AE54A3" w:rsidRDefault="00B85158" w:rsidP="00244450">
      <w:pPr>
        <w:pStyle w:val="a6"/>
        <w:spacing w:line="400" w:lineRule="exact"/>
        <w:jc w:val="center"/>
        <w:rPr>
          <w:rFonts w:ascii="微软雅黑" w:eastAsia="微软雅黑" w:hAnsi="微软雅黑" w:cs="宋体" w:hint="eastAsia"/>
          <w:sz w:val="22"/>
          <w:szCs w:val="22"/>
        </w:rPr>
      </w:pPr>
    </w:p>
    <w:p w:rsidR="00B85158" w:rsidRPr="00AE54A3" w:rsidRDefault="00B85158" w:rsidP="00244450">
      <w:pPr>
        <w:pStyle w:val="a6"/>
        <w:spacing w:line="320" w:lineRule="exact"/>
        <w:jc w:val="left"/>
        <w:rPr>
          <w:rFonts w:ascii="微软雅黑" w:eastAsia="微软雅黑" w:hAnsi="微软雅黑" w:cs="宋体"/>
        </w:rPr>
      </w:pPr>
      <w:r w:rsidRPr="00AE54A3">
        <w:rPr>
          <w:rFonts w:ascii="微软雅黑" w:eastAsia="微软雅黑" w:hAnsi="微软雅黑" w:cs="宋体" w:hint="eastAsia"/>
        </w:rPr>
        <w:t>（2003年7月4日最高人民法院审判委员会第1280次会议通过,根据2020年12月23日最高人民法院审判委员会第1823次会议通过的《最高人民法院关于修改〈最高人民法院关于人民法院民事调解工作若干问题的规定〉等十九件民事诉讼类司法解释的决定》修正）</w:t>
      </w:r>
      <w:r w:rsidR="006A1902" w:rsidRPr="00AE54A3">
        <w:rPr>
          <w:rFonts w:ascii="微软雅黑" w:eastAsia="微软雅黑" w:hAnsi="微软雅黑" w:cs="宋体" w:hint="eastAsia"/>
        </w:rPr>
        <w:t>-</w:t>
      </w:r>
      <w:r w:rsidR="00C13FF4" w:rsidRPr="00AE54A3">
        <w:rPr>
          <w:rFonts w:ascii="微软雅黑" w:eastAsia="微软雅黑" w:hAnsi="微软雅黑" w:cs="宋体" w:hint="eastAsia"/>
        </w:rPr>
        <w:t>- 2021年1月1日执行</w:t>
      </w:r>
    </w:p>
    <w:p w:rsidR="00B85158" w:rsidRPr="00AE54A3" w:rsidRDefault="00B85158" w:rsidP="00244450">
      <w:pPr>
        <w:pStyle w:val="a6"/>
        <w:spacing w:line="320" w:lineRule="exact"/>
        <w:rPr>
          <w:rFonts w:ascii="微软雅黑" w:eastAsia="微软雅黑" w:hAnsi="微软雅黑" w:cs="宋体"/>
          <w:sz w:val="22"/>
          <w:szCs w:val="22"/>
        </w:rPr>
      </w:pPr>
    </w:p>
    <w:p w:rsidR="00B85158" w:rsidRDefault="00B85158" w:rsidP="00C13FF4">
      <w:pPr>
        <w:pStyle w:val="a6"/>
        <w:spacing w:line="300" w:lineRule="exact"/>
        <w:ind w:firstLineChars="200" w:firstLine="440"/>
        <w:rPr>
          <w:rFonts w:ascii="微软雅黑" w:eastAsia="微软雅黑" w:hAnsi="微软雅黑" w:cs="宋体" w:hint="eastAsia"/>
          <w:sz w:val="22"/>
          <w:szCs w:val="22"/>
        </w:rPr>
      </w:pPr>
      <w:r w:rsidRPr="00AE54A3">
        <w:rPr>
          <w:rFonts w:ascii="微软雅黑" w:eastAsia="微软雅黑" w:hAnsi="微软雅黑" w:cs="宋体" w:hint="eastAsia"/>
          <w:sz w:val="22"/>
          <w:szCs w:val="22"/>
        </w:rPr>
        <w:t>为保障和方便当事人依法行使诉讼权利，保证人民法院公正、及时审理民事案件，根据《中华人民共和国民事诉讼法》的有关规定，结合审判实践，制定本规定。</w:t>
      </w:r>
    </w:p>
    <w:p w:rsidR="00AE54A3" w:rsidRPr="00AE54A3" w:rsidRDefault="00AE54A3" w:rsidP="00C13FF4">
      <w:pPr>
        <w:pStyle w:val="a6"/>
        <w:spacing w:line="300" w:lineRule="exact"/>
        <w:ind w:firstLineChars="200" w:firstLine="440"/>
        <w:rPr>
          <w:rFonts w:ascii="微软雅黑" w:eastAsia="微软雅黑" w:hAnsi="微软雅黑" w:cs="宋体"/>
          <w:sz w:val="22"/>
          <w:szCs w:val="22"/>
        </w:rPr>
      </w:pPr>
    </w:p>
    <w:p w:rsidR="00B85158" w:rsidRPr="00AE54A3" w:rsidRDefault="00B85158" w:rsidP="00AE54A3">
      <w:pPr>
        <w:pStyle w:val="a6"/>
        <w:spacing w:line="300" w:lineRule="exact"/>
        <w:ind w:firstLineChars="200" w:firstLine="440"/>
        <w:rPr>
          <w:rFonts w:ascii="微软雅黑" w:eastAsia="微软雅黑" w:hAnsi="微软雅黑" w:cs="宋体"/>
          <w:b/>
          <w:sz w:val="22"/>
          <w:szCs w:val="22"/>
          <w:shd w:val="pct15" w:color="auto" w:fill="FFFFFF"/>
        </w:rPr>
      </w:pPr>
      <w:r w:rsidRPr="00AE54A3">
        <w:rPr>
          <w:rFonts w:ascii="微软雅黑" w:eastAsia="微软雅黑" w:hAnsi="微软雅黑" w:cs="宋体" w:hint="eastAsia"/>
          <w:b/>
          <w:sz w:val="22"/>
          <w:szCs w:val="22"/>
          <w:shd w:val="pct15" w:color="auto" w:fill="FFFFFF"/>
        </w:rPr>
        <w:t>一、适用范围</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第一条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基层人民法院根据民事诉讼法</w:t>
      </w:r>
      <w:r w:rsidRPr="00AE54A3">
        <w:rPr>
          <w:rFonts w:ascii="微软雅黑" w:eastAsia="微软雅黑" w:hAnsi="微软雅黑" w:cs="宋体" w:hint="eastAsia"/>
          <w:sz w:val="22"/>
          <w:szCs w:val="22"/>
          <w:highlight w:val="yellow"/>
        </w:rPr>
        <w:t>第一百五十七条</w:t>
      </w:r>
      <w:r w:rsidRPr="00AE54A3">
        <w:rPr>
          <w:rFonts w:ascii="微软雅黑" w:eastAsia="微软雅黑" w:hAnsi="微软雅黑" w:cs="宋体" w:hint="eastAsia"/>
          <w:sz w:val="22"/>
          <w:szCs w:val="22"/>
        </w:rPr>
        <w:t>规定审理简单的民事案件，适用本规定，但有下列情形之一的案件除外：</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（一）起诉时被告下落不明的；</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（二）发回重审的；</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（三）共同诉讼中一方或者双方当事人人数众多的；</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（四）法律规定应当适用特别程序、审判监督程序、督促程序、公示催告程序和企业法人破产还债程序的；</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（五）人民法院认为不宜适用简易程序进行审理的。</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第二条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基层人民法院适用第一审普通程序审理的民事案件，当事人各方自愿选择适用简易程序，经人民法院审查同意的，可以适用简易程序进行审理。</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人民法院不得违反当事人自愿原则，将普通程序转为简易程序。</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第三条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当事人就适用简易程序提出异议，人民法院认为异议成立的，或者人民法院在审理过程中发现不宜适用简易程序的，应当将案件转入普通程序审理。</w:t>
      </w:r>
    </w:p>
    <w:p w:rsidR="00B85158" w:rsidRPr="00AE54A3" w:rsidRDefault="00B85158" w:rsidP="00AE54A3">
      <w:pPr>
        <w:pStyle w:val="a6"/>
        <w:spacing w:line="300" w:lineRule="exact"/>
        <w:ind w:firstLineChars="200" w:firstLine="440"/>
        <w:rPr>
          <w:rFonts w:ascii="微软雅黑" w:eastAsia="微软雅黑" w:hAnsi="微软雅黑" w:cs="宋体"/>
          <w:b/>
          <w:sz w:val="22"/>
          <w:szCs w:val="22"/>
          <w:shd w:val="pct15" w:color="auto" w:fill="FFFFFF"/>
        </w:rPr>
      </w:pPr>
      <w:r w:rsidRPr="00AE54A3">
        <w:rPr>
          <w:rFonts w:ascii="微软雅黑" w:eastAsia="微软雅黑" w:hAnsi="微软雅黑" w:cs="宋体" w:hint="eastAsia"/>
          <w:b/>
          <w:sz w:val="22"/>
          <w:szCs w:val="22"/>
          <w:shd w:val="pct15" w:color="auto" w:fill="FFFFFF"/>
        </w:rPr>
        <w:t>二、起诉与答辩</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第四条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原告本人不能书写起诉状，委托他人代写起诉状确有困难的，可以口头起诉。</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原告口头起诉的，人民法院应当将当事人的基本情况、联系方式、诉讼请求、事实及理由予以准确记录，将相关证据予以登记。人民法院应当将上述记录和登记的内容向原告当面宣读，原告认为无误后应当签名或者按指印。</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第五条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当事人应当在起诉或者答辩时向人民法院提供自己准确的送达地址、收件人、电话号码等其他联系方式，并签名或者按指印确认。</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送达地址应当写明受送达人住所地的邮政编码和详细地址；受送达人是有固定职业的自然人的，其从业的场所可以视为送达地址。</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第六条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原告起诉后，人民法院可以采取捎口信、电话、传真、电子邮件等简便方式随时传唤双方当事人、证人。</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第七条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第八条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人民法院按照原告提供的被告的送达地址或者其他联系方式无法通知被告应诉的，应当按以下情况分别处理：</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（一）原告提供了被告准确的送达地址，但人民法院无法向被告直接送达或者留置送达应诉通知书的，应当将案件转入普通程序审理；</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（二）原告不能提供被告准确的送达地址，人民法院经查证后仍不能确定被告送达地址的，可以被告不明确为由裁定驳回原告起诉。</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color w:val="C00000"/>
          <w:sz w:val="22"/>
          <w:szCs w:val="22"/>
        </w:rPr>
        <w:t>第九条</w:t>
      </w:r>
      <w:r w:rsidRPr="00AE54A3">
        <w:rPr>
          <w:rFonts w:ascii="微软雅黑" w:eastAsia="微软雅黑" w:hAnsi="微软雅黑" w:cs="宋体"/>
          <w:color w:val="C00000"/>
          <w:sz w:val="22"/>
          <w:szCs w:val="22"/>
        </w:rPr>
        <w:t xml:space="preserve">　</w:t>
      </w:r>
      <w:r w:rsidRPr="00AE54A3">
        <w:rPr>
          <w:rFonts w:ascii="微软雅黑" w:eastAsia="微软雅黑" w:hAnsi="微软雅黑" w:cs="宋体" w:hint="eastAsia"/>
          <w:color w:val="C00000"/>
          <w:sz w:val="22"/>
          <w:szCs w:val="22"/>
        </w:rPr>
        <w:t>被告到庭后拒绝提供自己的送达地址和联系方式的，人民法院应当告知其拒不提供送达地址的后果；</w:t>
      </w:r>
      <w:r w:rsidRPr="00AE54A3">
        <w:rPr>
          <w:rFonts w:ascii="微软雅黑" w:eastAsia="微软雅黑" w:hAnsi="微软雅黑" w:cs="宋体" w:hint="eastAsia"/>
          <w:sz w:val="22"/>
          <w:szCs w:val="22"/>
        </w:rPr>
        <w:t>经人民法院告知后被告仍然拒不提供的，按下列方式处理：</w:t>
      </w:r>
    </w:p>
    <w:p w:rsidR="00B85158" w:rsidRPr="00AE54A3" w:rsidRDefault="00B85158" w:rsidP="00C13FF4">
      <w:pPr>
        <w:pStyle w:val="a6"/>
        <w:spacing w:line="300" w:lineRule="exact"/>
        <w:ind w:firstLineChars="200" w:firstLine="440"/>
        <w:rPr>
          <w:rFonts w:ascii="微软雅黑" w:eastAsia="微软雅黑" w:hAnsi="微软雅黑" w:cs="宋体"/>
          <w:color w:val="00B050"/>
          <w:sz w:val="22"/>
          <w:szCs w:val="22"/>
        </w:rPr>
      </w:pPr>
      <w:r w:rsidRPr="00AE54A3">
        <w:rPr>
          <w:rFonts w:ascii="微软雅黑" w:eastAsia="微软雅黑" w:hAnsi="微软雅黑" w:cs="宋体" w:hint="eastAsia"/>
          <w:color w:val="00B050"/>
          <w:sz w:val="22"/>
          <w:szCs w:val="22"/>
        </w:rPr>
        <w:t>（一）被告是自然人的，以其户籍登记中的住所或者经常居所为送达地址；</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（二）被告是法人或者非法人组织的，应当以其在登记机关登记、备案中的住所为送达地址。</w:t>
      </w:r>
    </w:p>
    <w:p w:rsidR="00FE576F"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人民法院应当将上述告知的内容记入笔录。</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lastRenderedPageBreak/>
        <w:t>第十条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因当事人自己提供的送达地址不准确、送达地址变更未及时告知人民法院，或者当事人拒不提供自己的送达地址而导致诉讼文书未能被当事人实际接收的，按下列方式处理：</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（一）邮寄送达的，以邮件回执上注明的退回之日视为送达之日；</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（二）直接送达的，送达人当场在送达回证上记明情况之日视为送达之日。</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上述内容，人民法院应当在原告起诉和被告答辩时以书面或者口头方式告知当事人。</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第十一条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达人的住所或者从业场所，即视为送达。</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受送达人的同住成年家属或者法人、非法人组织负责收件的人是同一案件中另一方当事人的，不适用前款规定。</w:t>
      </w:r>
    </w:p>
    <w:p w:rsidR="00B85158" w:rsidRPr="00AE54A3" w:rsidRDefault="00B85158" w:rsidP="00AE54A3">
      <w:pPr>
        <w:pStyle w:val="a6"/>
        <w:spacing w:line="300" w:lineRule="exact"/>
        <w:ind w:firstLineChars="200" w:firstLine="440"/>
        <w:rPr>
          <w:rFonts w:ascii="微软雅黑" w:eastAsia="微软雅黑" w:hAnsi="微软雅黑" w:cs="宋体"/>
          <w:b/>
          <w:sz w:val="22"/>
          <w:szCs w:val="22"/>
          <w:shd w:val="pct15" w:color="auto" w:fill="FFFFFF"/>
        </w:rPr>
      </w:pPr>
      <w:r w:rsidRPr="00AE54A3">
        <w:rPr>
          <w:rFonts w:ascii="微软雅黑" w:eastAsia="微软雅黑" w:hAnsi="微软雅黑" w:cs="宋体" w:hint="eastAsia"/>
          <w:b/>
          <w:sz w:val="22"/>
          <w:szCs w:val="22"/>
          <w:shd w:val="pct15" w:color="auto" w:fill="FFFFFF"/>
        </w:rPr>
        <w:t>三、审理前的准备</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第十二条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适用简易程序审理的民事案件，当事人及其诉讼代理人申请证人出庭作证，应当在举证期限届满前提出。</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第十三条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当事人一方或者双方就适用简易程序提出异议后，人民法院应当进行审查，并按下列情形分别处理：</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（一）异议成立的，应当将案件转入普通程序审理，并将合议庭的组成人员及相关事项以书面形式通知双方当事人；</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（二）异议不成立的，口头告知双方当事人，并将上述内容记入笔录。</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转入普通程序审理的民事案件的审理期限自人民法院立案的</w:t>
      </w:r>
      <w:r w:rsidRPr="00AE54A3">
        <w:rPr>
          <w:rFonts w:ascii="微软雅黑" w:eastAsia="微软雅黑" w:hAnsi="微软雅黑" w:cs="宋体" w:hint="eastAsia"/>
          <w:color w:val="C00000"/>
          <w:sz w:val="22"/>
          <w:szCs w:val="22"/>
          <w:highlight w:val="yellow"/>
        </w:rPr>
        <w:t>次日</w:t>
      </w:r>
      <w:r w:rsidRPr="00AE54A3">
        <w:rPr>
          <w:rFonts w:ascii="微软雅黑" w:eastAsia="微软雅黑" w:hAnsi="微软雅黑" w:cs="宋体" w:hint="eastAsia"/>
          <w:color w:val="C00000"/>
          <w:sz w:val="22"/>
          <w:szCs w:val="22"/>
        </w:rPr>
        <w:t>起开始计算。</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第十四条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下列民事案件，人民法院在开庭审理时应当先行调解：</w:t>
      </w:r>
    </w:p>
    <w:p w:rsidR="00B85158" w:rsidRPr="00AE54A3" w:rsidRDefault="00B85158" w:rsidP="00C13FF4">
      <w:pPr>
        <w:pStyle w:val="a6"/>
        <w:spacing w:line="300" w:lineRule="exact"/>
        <w:ind w:firstLineChars="200" w:firstLine="440"/>
        <w:rPr>
          <w:rFonts w:ascii="微软雅黑" w:eastAsia="微软雅黑" w:hAnsi="微软雅黑" w:cs="宋体"/>
          <w:color w:val="00B050"/>
          <w:sz w:val="22"/>
          <w:szCs w:val="22"/>
        </w:rPr>
      </w:pPr>
      <w:r w:rsidRPr="00AE54A3">
        <w:rPr>
          <w:rFonts w:ascii="微软雅黑" w:eastAsia="微软雅黑" w:hAnsi="微软雅黑" w:cs="宋体" w:hint="eastAsia"/>
          <w:color w:val="00B050"/>
          <w:sz w:val="22"/>
          <w:szCs w:val="22"/>
        </w:rPr>
        <w:t>（一）婚姻家庭纠纷和继承纠纷；</w:t>
      </w:r>
    </w:p>
    <w:p w:rsidR="00B85158" w:rsidRPr="00AE54A3" w:rsidRDefault="00B85158" w:rsidP="00C13FF4">
      <w:pPr>
        <w:pStyle w:val="a6"/>
        <w:spacing w:line="300" w:lineRule="exact"/>
        <w:ind w:firstLineChars="200" w:firstLine="440"/>
        <w:rPr>
          <w:rFonts w:ascii="微软雅黑" w:eastAsia="微软雅黑" w:hAnsi="微软雅黑" w:cs="宋体"/>
          <w:color w:val="00B050"/>
          <w:sz w:val="22"/>
          <w:szCs w:val="22"/>
        </w:rPr>
      </w:pPr>
      <w:r w:rsidRPr="00AE54A3">
        <w:rPr>
          <w:rFonts w:ascii="微软雅黑" w:eastAsia="微软雅黑" w:hAnsi="微软雅黑" w:cs="宋体" w:hint="eastAsia"/>
          <w:color w:val="00B050"/>
          <w:sz w:val="22"/>
          <w:szCs w:val="22"/>
        </w:rPr>
        <w:t>（二）劳务合同纠纷；</w:t>
      </w:r>
    </w:p>
    <w:p w:rsidR="00B85158" w:rsidRPr="00AE54A3" w:rsidRDefault="00B85158" w:rsidP="00C13FF4">
      <w:pPr>
        <w:pStyle w:val="a6"/>
        <w:spacing w:line="300" w:lineRule="exact"/>
        <w:ind w:firstLineChars="200" w:firstLine="440"/>
        <w:rPr>
          <w:rFonts w:ascii="微软雅黑" w:eastAsia="微软雅黑" w:hAnsi="微软雅黑" w:cs="宋体"/>
          <w:color w:val="00B050"/>
          <w:sz w:val="22"/>
          <w:szCs w:val="22"/>
        </w:rPr>
      </w:pPr>
      <w:r w:rsidRPr="00AE54A3">
        <w:rPr>
          <w:rFonts w:ascii="微软雅黑" w:eastAsia="微软雅黑" w:hAnsi="微软雅黑" w:cs="宋体" w:hint="eastAsia"/>
          <w:color w:val="00B050"/>
          <w:sz w:val="22"/>
          <w:szCs w:val="22"/>
        </w:rPr>
        <w:t>（三）交通事故和工伤事故引起的权利义务关系较为明确的损害赔偿纠纷；</w:t>
      </w:r>
    </w:p>
    <w:p w:rsidR="00B85158" w:rsidRPr="00AE54A3" w:rsidRDefault="00B85158" w:rsidP="00C13FF4">
      <w:pPr>
        <w:pStyle w:val="a6"/>
        <w:spacing w:line="300" w:lineRule="exact"/>
        <w:ind w:firstLineChars="200" w:firstLine="440"/>
        <w:rPr>
          <w:rFonts w:ascii="微软雅黑" w:eastAsia="微软雅黑" w:hAnsi="微软雅黑" w:cs="宋体"/>
          <w:color w:val="00B050"/>
          <w:sz w:val="22"/>
          <w:szCs w:val="22"/>
        </w:rPr>
      </w:pPr>
      <w:r w:rsidRPr="00AE54A3">
        <w:rPr>
          <w:rFonts w:ascii="微软雅黑" w:eastAsia="微软雅黑" w:hAnsi="微软雅黑" w:cs="宋体" w:hint="eastAsia"/>
          <w:color w:val="00B050"/>
          <w:sz w:val="22"/>
          <w:szCs w:val="22"/>
        </w:rPr>
        <w:t>（四）宅基地和相邻关系纠纷；</w:t>
      </w:r>
    </w:p>
    <w:p w:rsidR="00B85158" w:rsidRPr="00AE54A3" w:rsidRDefault="00B85158" w:rsidP="00C13FF4">
      <w:pPr>
        <w:pStyle w:val="a6"/>
        <w:spacing w:line="300" w:lineRule="exact"/>
        <w:ind w:firstLineChars="200" w:firstLine="440"/>
        <w:rPr>
          <w:rFonts w:ascii="微软雅黑" w:eastAsia="微软雅黑" w:hAnsi="微软雅黑" w:cs="宋体"/>
          <w:color w:val="00B050"/>
          <w:sz w:val="22"/>
          <w:szCs w:val="22"/>
        </w:rPr>
      </w:pPr>
      <w:r w:rsidRPr="00AE54A3">
        <w:rPr>
          <w:rFonts w:ascii="微软雅黑" w:eastAsia="微软雅黑" w:hAnsi="微软雅黑" w:cs="宋体" w:hint="eastAsia"/>
          <w:color w:val="00B050"/>
          <w:sz w:val="22"/>
          <w:szCs w:val="22"/>
        </w:rPr>
        <w:t>（五）合伙合同纠纷；</w:t>
      </w:r>
    </w:p>
    <w:p w:rsidR="00B85158" w:rsidRPr="00AE54A3" w:rsidRDefault="00B85158" w:rsidP="00C13FF4">
      <w:pPr>
        <w:pStyle w:val="a6"/>
        <w:spacing w:line="300" w:lineRule="exact"/>
        <w:ind w:firstLineChars="200" w:firstLine="440"/>
        <w:rPr>
          <w:rFonts w:ascii="微软雅黑" w:eastAsia="微软雅黑" w:hAnsi="微软雅黑" w:cs="宋体"/>
          <w:color w:val="00B050"/>
          <w:sz w:val="22"/>
          <w:szCs w:val="22"/>
        </w:rPr>
      </w:pPr>
      <w:r w:rsidRPr="00AE54A3">
        <w:rPr>
          <w:rFonts w:ascii="微软雅黑" w:eastAsia="微软雅黑" w:hAnsi="微软雅黑" w:cs="宋体" w:hint="eastAsia"/>
          <w:color w:val="00B050"/>
          <w:sz w:val="22"/>
          <w:szCs w:val="22"/>
        </w:rPr>
        <w:t>（六）诉讼标的额较小的纠纷。</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但是根据案件的性质和当事人的实际情况不能调解或者显然没有调解必要的除外。</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第十五条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调解达</w:t>
      </w:r>
      <w:r w:rsidR="00AE54A3">
        <w:rPr>
          <w:rFonts w:ascii="微软雅黑" w:eastAsia="微软雅黑" w:hAnsi="微软雅黑" w:cs="宋体" w:hint="eastAsia"/>
          <w:sz w:val="22"/>
          <w:szCs w:val="22"/>
        </w:rPr>
        <w:t>成协议并经审判人员审核后，双方当事人同意该调解协议经双方签名或</w:t>
      </w:r>
      <w:r w:rsidRPr="00AE54A3">
        <w:rPr>
          <w:rFonts w:ascii="微软雅黑" w:eastAsia="微软雅黑" w:hAnsi="微软雅黑" w:cs="宋体" w:hint="eastAsia"/>
          <w:sz w:val="22"/>
          <w:szCs w:val="22"/>
        </w:rPr>
        <w:t>按指印生效的，该调解协议自双方签名或者按指印之日起发生法律效力。当事人要求摘录或者复制该调解协议的，应予准许。</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调解协议符合前款规定，且不属于不需要制作调解书的，人民法院应当另行制作民事调解书。调解协议生效后一方拒不履行的，另一方可以持民事调解书申请强制执行。</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第十六条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人民法院可以当庭告知当事人到人民法院领取民事调解书的具体日期，也可以在当事人达成调解协议的</w:t>
      </w:r>
      <w:r w:rsidRPr="00AE54A3">
        <w:rPr>
          <w:rFonts w:ascii="微软雅黑" w:eastAsia="微软雅黑" w:hAnsi="微软雅黑" w:cs="宋体" w:hint="eastAsia"/>
          <w:sz w:val="22"/>
          <w:szCs w:val="22"/>
          <w:highlight w:val="yellow"/>
        </w:rPr>
        <w:t>次日起</w:t>
      </w:r>
      <w:r w:rsidRPr="00AE54A3">
        <w:rPr>
          <w:rFonts w:ascii="微软雅黑" w:eastAsia="微软雅黑" w:hAnsi="微软雅黑" w:cs="宋体" w:hint="eastAsia"/>
          <w:color w:val="C00000"/>
          <w:sz w:val="22"/>
          <w:szCs w:val="22"/>
          <w:highlight w:val="yellow"/>
        </w:rPr>
        <w:t>十日内</w:t>
      </w:r>
      <w:r w:rsidRPr="00AE54A3">
        <w:rPr>
          <w:rFonts w:ascii="微软雅黑" w:eastAsia="微软雅黑" w:hAnsi="微软雅黑" w:cs="宋体" w:hint="eastAsia"/>
          <w:sz w:val="22"/>
          <w:szCs w:val="22"/>
        </w:rPr>
        <w:t>将民事调解书发送给当事人。</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第十七条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当事人以民事调解书与调解协议的原意不一致为由提出异议，人民法院审查后认为异议成立的，应当根据调解协议裁定补正民事调解书的相关内容。</w:t>
      </w:r>
    </w:p>
    <w:p w:rsidR="00B85158" w:rsidRPr="00AE54A3" w:rsidRDefault="00B85158" w:rsidP="00AE54A3">
      <w:pPr>
        <w:pStyle w:val="a6"/>
        <w:spacing w:line="300" w:lineRule="exact"/>
        <w:ind w:firstLineChars="200" w:firstLine="440"/>
        <w:rPr>
          <w:rFonts w:ascii="微软雅黑" w:eastAsia="微软雅黑" w:hAnsi="微软雅黑" w:cs="宋体"/>
          <w:b/>
          <w:sz w:val="22"/>
          <w:szCs w:val="22"/>
          <w:shd w:val="pct15" w:color="auto" w:fill="FFFFFF"/>
        </w:rPr>
      </w:pPr>
      <w:r w:rsidRPr="00AE54A3">
        <w:rPr>
          <w:rFonts w:ascii="微软雅黑" w:eastAsia="微软雅黑" w:hAnsi="微软雅黑" w:cs="宋体" w:hint="eastAsia"/>
          <w:b/>
          <w:sz w:val="22"/>
          <w:szCs w:val="22"/>
          <w:shd w:val="pct15" w:color="auto" w:fill="FFFFFF"/>
        </w:rPr>
        <w:t>四、开庭审理</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第十八条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以捎口信、电话、传真、电子邮件等形式发送的开庭通知，未经当事人确认或者没有其他证据足以证明当事人已经收到的，人民法院不得将其作为按撤诉处理和缺席判决的根据。</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第十九条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开庭前已经书面或者口头告知当事人诉讼权利义务，或者当事人各方均委托律师代理诉讼的，审判人员除告知当事人申请回避的权利外，可以不再告知当事人其他的诉讼权利义务。</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第二十条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对没有委托律师代理诉讼的当事人，审判人员应当对回避、自认、举证责任等相关内容向其作必要的解释或者说明，并在庭审过程中适当提示当事人正确行使诉讼权利、履行诉讼义务，指导当事人进行正常的诉讼活动。</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第二十一条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开庭时，审判人员可以根据当事人的诉讼请求和答辩意见归纳出争议焦点，经当事人确认后，由当事人围绕争议焦点举证、质证和辩论。</w:t>
      </w:r>
    </w:p>
    <w:p w:rsidR="00FE576F"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当事人对案件事实无争议的，审判人员可以在听取当事人就适用法律方面的辩论意见后径行判决、裁定。</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第二十二条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当事人双方同时到基层人民法院请求解决简单的民事纠纷，但未协商举证期限，或者被告一方经简便方式传唤到庭的，当事人在开庭审理时要求当庭举证的，应予准许；当事人当庭举证有困难的，举证的期限由当事人协商决定，但最长不得超过</w:t>
      </w:r>
      <w:r w:rsidRPr="00AE54A3">
        <w:rPr>
          <w:rFonts w:ascii="微软雅黑" w:eastAsia="微软雅黑" w:hAnsi="微软雅黑" w:cs="宋体" w:hint="eastAsia"/>
          <w:color w:val="C00000"/>
          <w:sz w:val="22"/>
          <w:szCs w:val="22"/>
        </w:rPr>
        <w:t>十五日</w:t>
      </w:r>
      <w:r w:rsidRPr="00AE54A3">
        <w:rPr>
          <w:rFonts w:ascii="微软雅黑" w:eastAsia="微软雅黑" w:hAnsi="微软雅黑" w:cs="宋体" w:hint="eastAsia"/>
          <w:sz w:val="22"/>
          <w:szCs w:val="22"/>
        </w:rPr>
        <w:t>；协商不成的，由人民法院决定。</w:t>
      </w:r>
    </w:p>
    <w:p w:rsidR="00B85158" w:rsidRPr="00AE54A3" w:rsidRDefault="00B85158" w:rsidP="00AE54A3">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b/>
          <w:color w:val="C00000"/>
          <w:sz w:val="22"/>
          <w:szCs w:val="22"/>
        </w:rPr>
        <w:lastRenderedPageBreak/>
        <w:t>第二十三条</w:t>
      </w:r>
      <w:r w:rsidRPr="00AE54A3">
        <w:rPr>
          <w:rFonts w:ascii="微软雅黑" w:eastAsia="微软雅黑" w:hAnsi="微软雅黑" w:cs="宋体"/>
          <w:color w:val="C00000"/>
          <w:sz w:val="22"/>
          <w:szCs w:val="22"/>
        </w:rPr>
        <w:t xml:space="preserve">　</w:t>
      </w:r>
      <w:r w:rsidRPr="00AE54A3">
        <w:rPr>
          <w:rFonts w:ascii="微软雅黑" w:eastAsia="微软雅黑" w:hAnsi="微软雅黑" w:cs="宋体" w:hint="eastAsia"/>
          <w:color w:val="C00000"/>
          <w:sz w:val="22"/>
          <w:szCs w:val="22"/>
        </w:rPr>
        <w:t>适用简易程序审理的民事案件，应当一次开庭审结，但人民法院认为确有必要再次开庭的除外。</w:t>
      </w:r>
    </w:p>
    <w:p w:rsidR="00B85158" w:rsidRPr="00AE54A3" w:rsidRDefault="00B85158" w:rsidP="00AE54A3">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b/>
          <w:color w:val="C00000"/>
          <w:sz w:val="22"/>
          <w:szCs w:val="22"/>
        </w:rPr>
        <w:t>第二十四条</w:t>
      </w:r>
      <w:r w:rsidRPr="00AE54A3">
        <w:rPr>
          <w:rFonts w:ascii="微软雅黑" w:eastAsia="微软雅黑" w:hAnsi="微软雅黑" w:cs="宋体"/>
          <w:color w:val="C00000"/>
          <w:sz w:val="22"/>
          <w:szCs w:val="22"/>
        </w:rPr>
        <w:t xml:space="preserve">　</w:t>
      </w:r>
      <w:r w:rsidRPr="00AE54A3">
        <w:rPr>
          <w:rFonts w:ascii="微软雅黑" w:eastAsia="微软雅黑" w:hAnsi="微软雅黑" w:cs="宋体" w:hint="eastAsia"/>
          <w:color w:val="C00000"/>
          <w:sz w:val="22"/>
          <w:szCs w:val="22"/>
        </w:rPr>
        <w:t>书记员应当</w:t>
      </w:r>
      <w:r w:rsidR="00FA0DC6" w:rsidRPr="00AE54A3">
        <w:rPr>
          <w:rFonts w:ascii="微软雅黑" w:eastAsia="微软雅黑" w:hAnsi="微软雅黑" w:cs="宋体" w:hint="eastAsia"/>
          <w:color w:val="C00000"/>
          <w:sz w:val="22"/>
          <w:szCs w:val="22"/>
        </w:rPr>
        <w:t>将适用简易程序审理民事案件的全部活动记入笔录。对于下列事项，应</w:t>
      </w:r>
      <w:r w:rsidRPr="00AE54A3">
        <w:rPr>
          <w:rFonts w:ascii="微软雅黑" w:eastAsia="微软雅黑" w:hAnsi="微软雅黑" w:cs="宋体" w:hint="eastAsia"/>
          <w:color w:val="C00000"/>
          <w:sz w:val="22"/>
          <w:szCs w:val="22"/>
        </w:rPr>
        <w:t>详细记载：</w:t>
      </w:r>
    </w:p>
    <w:p w:rsidR="00B85158" w:rsidRPr="00AE54A3" w:rsidRDefault="00B85158" w:rsidP="00C13FF4">
      <w:pPr>
        <w:pStyle w:val="a6"/>
        <w:spacing w:line="300" w:lineRule="exact"/>
        <w:ind w:firstLineChars="200" w:firstLine="440"/>
        <w:rPr>
          <w:rFonts w:ascii="微软雅黑" w:eastAsia="微软雅黑" w:hAnsi="微软雅黑" w:cs="宋体"/>
          <w:color w:val="7030A0"/>
          <w:sz w:val="22"/>
          <w:szCs w:val="22"/>
        </w:rPr>
      </w:pPr>
      <w:r w:rsidRPr="00AE54A3">
        <w:rPr>
          <w:rFonts w:ascii="微软雅黑" w:eastAsia="微软雅黑" w:hAnsi="微软雅黑" w:cs="宋体" w:hint="eastAsia"/>
          <w:color w:val="7030A0"/>
          <w:sz w:val="22"/>
          <w:szCs w:val="22"/>
        </w:rPr>
        <w:t>（一）审判人员关于当事人诉讼权利义务的告知、争议焦点的概括、证据的认定和裁判的宣告等重大事项；</w:t>
      </w:r>
    </w:p>
    <w:p w:rsidR="00B85158" w:rsidRPr="00AE54A3" w:rsidRDefault="00B85158" w:rsidP="00C13FF4">
      <w:pPr>
        <w:pStyle w:val="a6"/>
        <w:spacing w:line="300" w:lineRule="exact"/>
        <w:ind w:firstLineChars="200" w:firstLine="440"/>
        <w:rPr>
          <w:rFonts w:ascii="微软雅黑" w:eastAsia="微软雅黑" w:hAnsi="微软雅黑" w:cs="宋体"/>
          <w:color w:val="7030A0"/>
          <w:sz w:val="22"/>
          <w:szCs w:val="22"/>
        </w:rPr>
      </w:pPr>
      <w:r w:rsidRPr="00AE54A3">
        <w:rPr>
          <w:rFonts w:ascii="微软雅黑" w:eastAsia="微软雅黑" w:hAnsi="微软雅黑" w:cs="宋体" w:hint="eastAsia"/>
          <w:color w:val="7030A0"/>
          <w:sz w:val="22"/>
          <w:szCs w:val="22"/>
        </w:rPr>
        <w:t>（二）当事人申请回避、自认、撤诉、和解等重大事项；</w:t>
      </w:r>
    </w:p>
    <w:p w:rsidR="00B85158" w:rsidRPr="00AE54A3" w:rsidRDefault="00B85158" w:rsidP="00C13FF4">
      <w:pPr>
        <w:pStyle w:val="a6"/>
        <w:spacing w:line="300" w:lineRule="exact"/>
        <w:ind w:firstLineChars="200" w:firstLine="440"/>
        <w:rPr>
          <w:rFonts w:ascii="微软雅黑" w:eastAsia="微软雅黑" w:hAnsi="微软雅黑" w:cs="宋体"/>
          <w:color w:val="7030A0"/>
          <w:sz w:val="22"/>
          <w:szCs w:val="22"/>
        </w:rPr>
      </w:pPr>
      <w:r w:rsidRPr="00AE54A3">
        <w:rPr>
          <w:rFonts w:ascii="微软雅黑" w:eastAsia="微软雅黑" w:hAnsi="微软雅黑" w:cs="宋体" w:hint="eastAsia"/>
          <w:color w:val="7030A0"/>
          <w:sz w:val="22"/>
          <w:szCs w:val="22"/>
        </w:rPr>
        <w:t>（三）当事人当庭陈述的与其诉讼权利直接相关的其他事项。</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第二十五条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庭审结束时，审判人员可以根据案件的审理情况对争议焦点和当事人各方举证、质证和辩论的情况进行简要总结，并就是否同意调解征询当事人的意见。</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第二十六条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审判人员在审理过程中发现案情复杂需要转为普通程序的，应当在审限届满前及时作出决定，并书面通知当事人。</w:t>
      </w:r>
    </w:p>
    <w:p w:rsidR="00B85158" w:rsidRPr="00AE54A3" w:rsidRDefault="00B85158" w:rsidP="00AE54A3">
      <w:pPr>
        <w:pStyle w:val="a6"/>
        <w:spacing w:line="300" w:lineRule="exact"/>
        <w:ind w:firstLineChars="200" w:firstLine="440"/>
        <w:rPr>
          <w:rFonts w:ascii="微软雅黑" w:eastAsia="微软雅黑" w:hAnsi="微软雅黑" w:cs="宋体"/>
          <w:b/>
          <w:sz w:val="22"/>
          <w:szCs w:val="22"/>
          <w:shd w:val="pct15" w:color="auto" w:fill="FFFFFF"/>
        </w:rPr>
      </w:pPr>
      <w:r w:rsidRPr="00AE54A3">
        <w:rPr>
          <w:rFonts w:ascii="微软雅黑" w:eastAsia="微软雅黑" w:hAnsi="微软雅黑" w:cs="宋体" w:hint="eastAsia"/>
          <w:b/>
          <w:sz w:val="22"/>
          <w:szCs w:val="22"/>
          <w:shd w:val="pct15" w:color="auto" w:fill="FFFFFF"/>
        </w:rPr>
        <w:t>五、宣判与送达</w:t>
      </w:r>
    </w:p>
    <w:p w:rsidR="00B85158" w:rsidRPr="00AE54A3" w:rsidRDefault="00B85158" w:rsidP="00AE54A3">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b/>
          <w:color w:val="C00000"/>
          <w:sz w:val="22"/>
          <w:szCs w:val="22"/>
        </w:rPr>
        <w:t>第二十七条</w:t>
      </w:r>
      <w:r w:rsidRPr="00AE54A3">
        <w:rPr>
          <w:rFonts w:ascii="微软雅黑" w:eastAsia="微软雅黑" w:hAnsi="微软雅黑" w:cs="宋体"/>
          <w:color w:val="C00000"/>
          <w:sz w:val="22"/>
          <w:szCs w:val="22"/>
        </w:rPr>
        <w:t xml:space="preserve">　</w:t>
      </w:r>
      <w:r w:rsidRPr="00AE54A3">
        <w:rPr>
          <w:rFonts w:ascii="微软雅黑" w:eastAsia="微软雅黑" w:hAnsi="微软雅黑" w:cs="宋体" w:hint="eastAsia"/>
          <w:color w:val="C00000"/>
          <w:sz w:val="22"/>
          <w:szCs w:val="22"/>
        </w:rPr>
        <w:t>适用简易程序审理的民事案件，除人民法院认为不宜当庭宣判的以外，应当当庭宣判。</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color w:val="C00000"/>
          <w:sz w:val="22"/>
          <w:szCs w:val="22"/>
        </w:rPr>
        <w:t>第二十八条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当庭宣判的案件，除当事人当庭要求邮寄送达的以外，</w:t>
      </w:r>
      <w:r w:rsidRPr="00AE54A3">
        <w:rPr>
          <w:rFonts w:ascii="微软雅黑" w:eastAsia="微软雅黑" w:hAnsi="微软雅黑" w:cs="宋体" w:hint="eastAsia"/>
          <w:color w:val="C00000"/>
          <w:sz w:val="22"/>
          <w:szCs w:val="22"/>
        </w:rPr>
        <w:t>人民法院应当告知当事人或者诉讼代理人领取裁判文书的期间和地点以及逾期不领取的法律后果</w:t>
      </w:r>
      <w:r w:rsidRPr="00AE54A3">
        <w:rPr>
          <w:rFonts w:ascii="微软雅黑" w:eastAsia="微软雅黑" w:hAnsi="微软雅黑" w:cs="宋体" w:hint="eastAsia"/>
          <w:sz w:val="22"/>
          <w:szCs w:val="22"/>
        </w:rPr>
        <w:t>。上述情况，应当记入笔录。</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color w:val="7030A0"/>
          <w:sz w:val="22"/>
          <w:szCs w:val="22"/>
        </w:rPr>
        <w:t>人民法院已经告知当事人领取裁判文书的期间和地点的，当事人在指定期间内领取裁判文书之日即为送达之日；</w:t>
      </w:r>
      <w:r w:rsidRPr="00AE54A3">
        <w:rPr>
          <w:rFonts w:ascii="微软雅黑" w:eastAsia="微软雅黑" w:hAnsi="微软雅黑" w:cs="宋体" w:hint="eastAsia"/>
          <w:color w:val="0070C0"/>
          <w:sz w:val="22"/>
          <w:szCs w:val="22"/>
        </w:rPr>
        <w:t>当事人在指定期间内未领取的，指定领取裁判文书期间届满之日即为送达之日，</w:t>
      </w:r>
      <w:r w:rsidRPr="00AE54A3">
        <w:rPr>
          <w:rFonts w:ascii="微软雅黑" w:eastAsia="微软雅黑" w:hAnsi="微软雅黑" w:cs="宋体" w:hint="eastAsia"/>
          <w:sz w:val="22"/>
          <w:szCs w:val="22"/>
        </w:rPr>
        <w:t>当事人的上诉期从人民法院指定领取裁判文书期间届满之日的</w:t>
      </w:r>
      <w:r w:rsidRPr="00AE54A3">
        <w:rPr>
          <w:rFonts w:ascii="微软雅黑" w:eastAsia="微软雅黑" w:hAnsi="微软雅黑" w:cs="宋体" w:hint="eastAsia"/>
          <w:color w:val="C00000"/>
          <w:sz w:val="22"/>
          <w:szCs w:val="22"/>
        </w:rPr>
        <w:t>次日</w:t>
      </w:r>
      <w:r w:rsidRPr="00AE54A3">
        <w:rPr>
          <w:rFonts w:ascii="微软雅黑" w:eastAsia="微软雅黑" w:hAnsi="微软雅黑" w:cs="宋体" w:hint="eastAsia"/>
          <w:sz w:val="22"/>
          <w:szCs w:val="22"/>
        </w:rPr>
        <w:t>起开始计算。</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第二十九条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当事人因交通不便或者其他原因要求邮寄送达裁判文书的，人民法院可以按照当事人自己提供的送达地址邮寄送达。</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人民法院根据当事人自己提供的送达地址邮寄送达的，邮件回执上注明收到或者退回之日即为送达之日，当事人的上诉期从邮件回执上注明收到或者退回之日的次日起开始计算。</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第三十条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原告经传票传唤，无正当理由拒不到庭或者未经法庭许可中途退庭的，可以按撤诉处理；被告经传票传唤，无正当理由拒不到庭或者未经法庭许可中途退庭的，人民法院可以根据原告的诉讼请求及双方已经提交给法庭的证据材料缺席判决。</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按撤诉处理或者缺席判决的，人民法院可以按照当事人自己提供的送达地址将裁判文书送达给未到庭的当事人。</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color w:val="C00000"/>
          <w:sz w:val="22"/>
          <w:szCs w:val="22"/>
        </w:rPr>
        <w:t>第三十一条</w:t>
      </w:r>
      <w:r w:rsidRPr="00AE54A3">
        <w:rPr>
          <w:rFonts w:ascii="微软雅黑" w:eastAsia="微软雅黑" w:hAnsi="微软雅黑" w:cs="宋体"/>
          <w:color w:val="C00000"/>
          <w:sz w:val="22"/>
          <w:szCs w:val="22"/>
        </w:rPr>
        <w:t xml:space="preserve">　</w:t>
      </w:r>
      <w:r w:rsidRPr="00AE54A3">
        <w:rPr>
          <w:rFonts w:ascii="微软雅黑" w:eastAsia="微软雅黑" w:hAnsi="微软雅黑" w:cs="宋体" w:hint="eastAsia"/>
          <w:color w:val="C00000"/>
          <w:sz w:val="22"/>
          <w:szCs w:val="22"/>
        </w:rPr>
        <w:t>定期宣判的案件，定期宣判之日即为送达之日，当事人的上诉期自定期宣判的次日起开始计算。</w:t>
      </w:r>
      <w:r w:rsidRPr="00AE54A3">
        <w:rPr>
          <w:rFonts w:ascii="微软雅黑" w:eastAsia="微软雅黑" w:hAnsi="微软雅黑" w:cs="宋体" w:hint="eastAsia"/>
          <w:sz w:val="22"/>
          <w:szCs w:val="22"/>
        </w:rPr>
        <w:t>当事人在定期宣判的日期无正当理由未到庭的，不影响该裁判上诉期间的计算。</w:t>
      </w:r>
    </w:p>
    <w:p w:rsidR="00B85158" w:rsidRPr="00AE54A3" w:rsidRDefault="00B85158" w:rsidP="00C13FF4">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sz w:val="22"/>
          <w:szCs w:val="22"/>
        </w:rPr>
        <w:t>当事人确有正当理由不能到庭，并在定期宣判前已经告知人民法院的，人民法院可以按照当事人自己提供的送达地址将裁判文书送达给未到庭的当事人。</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第三十二条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适用简易程序审理的民事案件，有下列情形之一的，人民法院在制作裁判文书时对认定事实或者判决理由部分可以适当简化：</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（一）当事人达成调解协议并需要制作民事调解书的；</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（二）一方当事人在诉讼过程中明确表示承认对方全部诉讼请求或者部分诉讼请求的；</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（三）当事人对案件事实没有争议或者争议不大的；</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（四）涉及自然人的隐私、个人信息，或者商业秘密的案件，当事人一方要求简化裁判文书中的相关内容，人民法院认为理由正当的；</w:t>
      </w:r>
    </w:p>
    <w:p w:rsidR="00B85158" w:rsidRPr="00AE54A3" w:rsidRDefault="00B85158" w:rsidP="00C13FF4">
      <w:pPr>
        <w:pStyle w:val="a6"/>
        <w:spacing w:line="300" w:lineRule="exact"/>
        <w:ind w:firstLineChars="200" w:firstLine="440"/>
        <w:rPr>
          <w:rFonts w:ascii="微软雅黑" w:eastAsia="微软雅黑" w:hAnsi="微软雅黑" w:cs="宋体"/>
          <w:color w:val="C00000"/>
          <w:sz w:val="22"/>
          <w:szCs w:val="22"/>
        </w:rPr>
      </w:pPr>
      <w:r w:rsidRPr="00AE54A3">
        <w:rPr>
          <w:rFonts w:ascii="微软雅黑" w:eastAsia="微软雅黑" w:hAnsi="微软雅黑" w:cs="宋体" w:hint="eastAsia"/>
          <w:color w:val="C00000"/>
          <w:sz w:val="22"/>
          <w:szCs w:val="22"/>
        </w:rPr>
        <w:t>（五）当事人双方一致同意简化裁判文书的。</w:t>
      </w:r>
    </w:p>
    <w:p w:rsidR="00B85158" w:rsidRPr="00AE54A3" w:rsidRDefault="00B85158" w:rsidP="00AE54A3">
      <w:pPr>
        <w:pStyle w:val="a6"/>
        <w:spacing w:line="300" w:lineRule="exact"/>
        <w:ind w:firstLineChars="200" w:firstLine="440"/>
        <w:rPr>
          <w:rFonts w:ascii="微软雅黑" w:eastAsia="微软雅黑" w:hAnsi="微软雅黑" w:cs="宋体"/>
          <w:b/>
          <w:sz w:val="22"/>
          <w:szCs w:val="22"/>
          <w:shd w:val="pct15" w:color="auto" w:fill="FFFFFF"/>
        </w:rPr>
      </w:pPr>
      <w:r w:rsidRPr="00AE54A3">
        <w:rPr>
          <w:rFonts w:ascii="微软雅黑" w:eastAsia="微软雅黑" w:hAnsi="微软雅黑" w:cs="宋体" w:hint="eastAsia"/>
          <w:b/>
          <w:sz w:val="22"/>
          <w:szCs w:val="22"/>
          <w:shd w:val="pct15" w:color="auto" w:fill="FFFFFF"/>
        </w:rPr>
        <w:t>六、其他</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第三十三条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本院已经公布的司法解释与本规定不一致的，以本规定为准。</w:t>
      </w:r>
    </w:p>
    <w:p w:rsidR="00B85158" w:rsidRPr="00AE54A3" w:rsidRDefault="00B85158" w:rsidP="00AE54A3">
      <w:pPr>
        <w:pStyle w:val="a6"/>
        <w:spacing w:line="300" w:lineRule="exact"/>
        <w:ind w:firstLineChars="200" w:firstLine="440"/>
        <w:rPr>
          <w:rFonts w:ascii="微软雅黑" w:eastAsia="微软雅黑" w:hAnsi="微软雅黑" w:cs="宋体"/>
          <w:sz w:val="22"/>
          <w:szCs w:val="22"/>
        </w:rPr>
      </w:pPr>
      <w:r w:rsidRPr="00AE54A3">
        <w:rPr>
          <w:rFonts w:ascii="微软雅黑" w:eastAsia="微软雅黑" w:hAnsi="微软雅黑" w:cs="宋体" w:hint="eastAsia"/>
          <w:b/>
          <w:sz w:val="22"/>
          <w:szCs w:val="22"/>
        </w:rPr>
        <w:t>第三十四条</w:t>
      </w:r>
      <w:r w:rsidRPr="00AE54A3">
        <w:rPr>
          <w:rFonts w:ascii="微软雅黑" w:eastAsia="微软雅黑" w:hAnsi="微软雅黑" w:cs="宋体"/>
          <w:sz w:val="22"/>
          <w:szCs w:val="22"/>
        </w:rPr>
        <w:t xml:space="preserve">　</w:t>
      </w:r>
      <w:r w:rsidRPr="00AE54A3">
        <w:rPr>
          <w:rFonts w:ascii="微软雅黑" w:eastAsia="微软雅黑" w:hAnsi="微软雅黑" w:cs="宋体" w:hint="eastAsia"/>
          <w:sz w:val="22"/>
          <w:szCs w:val="22"/>
        </w:rPr>
        <w:t>本规定自</w:t>
      </w:r>
      <w:r w:rsidRPr="00AE54A3">
        <w:rPr>
          <w:rFonts w:ascii="微软雅黑" w:eastAsia="微软雅黑" w:hAnsi="微软雅黑" w:cs="宋体" w:hint="eastAsia"/>
          <w:color w:val="C00000"/>
          <w:sz w:val="22"/>
          <w:szCs w:val="22"/>
        </w:rPr>
        <w:t>2003年12月1日</w:t>
      </w:r>
      <w:r w:rsidRPr="00AE54A3">
        <w:rPr>
          <w:rFonts w:ascii="微软雅黑" w:eastAsia="微软雅黑" w:hAnsi="微软雅黑" w:cs="宋体" w:hint="eastAsia"/>
          <w:sz w:val="22"/>
          <w:szCs w:val="22"/>
        </w:rPr>
        <w:t>起施行。2003年12月1日以后受理的民事案件，适用本规定。</w:t>
      </w:r>
    </w:p>
    <w:sectPr w:rsidR="00B85158" w:rsidRPr="00AE54A3" w:rsidSect="00AE54A3">
      <w:footerReference w:type="even" r:id="rId6"/>
      <w:footerReference w:type="default" r:id="rId7"/>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7C" w:rsidRDefault="00322F7C">
      <w:r>
        <w:separator/>
      </w:r>
    </w:p>
  </w:endnote>
  <w:endnote w:type="continuationSeparator" w:id="0">
    <w:p w:rsidR="00322F7C" w:rsidRDefault="00322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158" w:rsidRDefault="00B85158">
    <w:pPr>
      <w:pStyle w:val="a7"/>
      <w:framePr w:wrap="around" w:vAnchor="text" w:hAnchor="margin" w:xAlign="outside" w:y="1"/>
      <w:rPr>
        <w:rStyle w:val="a3"/>
      </w:rPr>
    </w:pPr>
    <w:r>
      <w:fldChar w:fldCharType="begin"/>
    </w:r>
    <w:r>
      <w:rPr>
        <w:rStyle w:val="a3"/>
      </w:rPr>
      <w:instrText xml:space="preserve">PAGE  </w:instrText>
    </w:r>
    <w:r>
      <w:fldChar w:fldCharType="end"/>
    </w:r>
  </w:p>
  <w:p w:rsidR="00B85158" w:rsidRDefault="00B85158">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F4" w:rsidRDefault="00C13FF4">
    <w:pPr>
      <w:pStyle w:val="a7"/>
      <w:jc w:val="right"/>
    </w:pPr>
    <w:r>
      <w:rPr>
        <w:lang w:val="zh-CN"/>
      </w:rPr>
      <w:t xml:space="preserve"> </w:t>
    </w:r>
    <w:r>
      <w:rPr>
        <w:b/>
        <w:sz w:val="24"/>
        <w:szCs w:val="24"/>
      </w:rPr>
      <w:fldChar w:fldCharType="begin"/>
    </w:r>
    <w:r>
      <w:rPr>
        <w:b/>
      </w:rPr>
      <w:instrText>PAGE</w:instrText>
    </w:r>
    <w:r>
      <w:rPr>
        <w:b/>
        <w:sz w:val="24"/>
        <w:szCs w:val="24"/>
      </w:rPr>
      <w:fldChar w:fldCharType="separate"/>
    </w:r>
    <w:r w:rsidR="001E2C0C">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1E2C0C">
      <w:rPr>
        <w:b/>
        <w:noProof/>
      </w:rPr>
      <w:t>3</w:t>
    </w:r>
    <w:r>
      <w:rPr>
        <w:b/>
        <w:sz w:val="24"/>
        <w:szCs w:val="24"/>
      </w:rPr>
      <w:fldChar w:fldCharType="end"/>
    </w:r>
  </w:p>
  <w:p w:rsidR="00B85158" w:rsidRDefault="00B8515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F7C" w:rsidRDefault="00322F7C">
      <w:r>
        <w:separator/>
      </w:r>
    </w:p>
  </w:footnote>
  <w:footnote w:type="continuationSeparator" w:id="0">
    <w:p w:rsidR="00322F7C" w:rsidRDefault="00322F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07C2"/>
    <w:rsid w:val="0004157A"/>
    <w:rsid w:val="00041639"/>
    <w:rsid w:val="00046FD0"/>
    <w:rsid w:val="00060A39"/>
    <w:rsid w:val="00060B3A"/>
    <w:rsid w:val="000658AA"/>
    <w:rsid w:val="00070A8B"/>
    <w:rsid w:val="000720A0"/>
    <w:rsid w:val="00072E51"/>
    <w:rsid w:val="000831A5"/>
    <w:rsid w:val="00092662"/>
    <w:rsid w:val="00093500"/>
    <w:rsid w:val="00094871"/>
    <w:rsid w:val="00095B97"/>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52D"/>
    <w:rsid w:val="001211C7"/>
    <w:rsid w:val="00125415"/>
    <w:rsid w:val="00131D55"/>
    <w:rsid w:val="00133F36"/>
    <w:rsid w:val="00141FB6"/>
    <w:rsid w:val="00156266"/>
    <w:rsid w:val="00157374"/>
    <w:rsid w:val="001614DD"/>
    <w:rsid w:val="001617A2"/>
    <w:rsid w:val="00162880"/>
    <w:rsid w:val="0016489F"/>
    <w:rsid w:val="0016665A"/>
    <w:rsid w:val="00170A71"/>
    <w:rsid w:val="001778DA"/>
    <w:rsid w:val="001A7520"/>
    <w:rsid w:val="001B131A"/>
    <w:rsid w:val="001B153F"/>
    <w:rsid w:val="001B6523"/>
    <w:rsid w:val="001D4E14"/>
    <w:rsid w:val="001D5662"/>
    <w:rsid w:val="001E1AB1"/>
    <w:rsid w:val="001E2C0C"/>
    <w:rsid w:val="00204D2E"/>
    <w:rsid w:val="002064F7"/>
    <w:rsid w:val="00206B2B"/>
    <w:rsid w:val="0021015E"/>
    <w:rsid w:val="0021638E"/>
    <w:rsid w:val="002216B9"/>
    <w:rsid w:val="002236FB"/>
    <w:rsid w:val="002240C0"/>
    <w:rsid w:val="0023259F"/>
    <w:rsid w:val="00233F94"/>
    <w:rsid w:val="00235183"/>
    <w:rsid w:val="00241E35"/>
    <w:rsid w:val="002428F9"/>
    <w:rsid w:val="00244450"/>
    <w:rsid w:val="0025742F"/>
    <w:rsid w:val="00257467"/>
    <w:rsid w:val="002671B1"/>
    <w:rsid w:val="00271C80"/>
    <w:rsid w:val="00277543"/>
    <w:rsid w:val="00281EEF"/>
    <w:rsid w:val="0028710F"/>
    <w:rsid w:val="002A0E27"/>
    <w:rsid w:val="002A0E47"/>
    <w:rsid w:val="002A1765"/>
    <w:rsid w:val="002A1BB0"/>
    <w:rsid w:val="002A7E25"/>
    <w:rsid w:val="002B5847"/>
    <w:rsid w:val="002B5E8C"/>
    <w:rsid w:val="002C11D2"/>
    <w:rsid w:val="002C2CC8"/>
    <w:rsid w:val="002D49C4"/>
    <w:rsid w:val="002D6C55"/>
    <w:rsid w:val="002E52C2"/>
    <w:rsid w:val="002E71C4"/>
    <w:rsid w:val="00300D5D"/>
    <w:rsid w:val="00304596"/>
    <w:rsid w:val="00306548"/>
    <w:rsid w:val="00311EB0"/>
    <w:rsid w:val="00313AEE"/>
    <w:rsid w:val="0031621E"/>
    <w:rsid w:val="00322F7C"/>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2926"/>
    <w:rsid w:val="003F534F"/>
    <w:rsid w:val="00403942"/>
    <w:rsid w:val="00422466"/>
    <w:rsid w:val="00422EA0"/>
    <w:rsid w:val="00424C9C"/>
    <w:rsid w:val="00430221"/>
    <w:rsid w:val="00431DB2"/>
    <w:rsid w:val="00432CA7"/>
    <w:rsid w:val="004358E6"/>
    <w:rsid w:val="00440B14"/>
    <w:rsid w:val="00447D9F"/>
    <w:rsid w:val="0045162B"/>
    <w:rsid w:val="00454D12"/>
    <w:rsid w:val="00463561"/>
    <w:rsid w:val="004724D5"/>
    <w:rsid w:val="00473BA4"/>
    <w:rsid w:val="00473EAA"/>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2413B"/>
    <w:rsid w:val="00536EBF"/>
    <w:rsid w:val="0053713F"/>
    <w:rsid w:val="00542147"/>
    <w:rsid w:val="005433C2"/>
    <w:rsid w:val="005502F2"/>
    <w:rsid w:val="005533DE"/>
    <w:rsid w:val="00562083"/>
    <w:rsid w:val="0057423C"/>
    <w:rsid w:val="0058350A"/>
    <w:rsid w:val="00586344"/>
    <w:rsid w:val="00594376"/>
    <w:rsid w:val="005A56F6"/>
    <w:rsid w:val="005A6C12"/>
    <w:rsid w:val="005A73D8"/>
    <w:rsid w:val="005C1972"/>
    <w:rsid w:val="005C6779"/>
    <w:rsid w:val="005D3469"/>
    <w:rsid w:val="005E2A4A"/>
    <w:rsid w:val="005E48B7"/>
    <w:rsid w:val="005F1B3D"/>
    <w:rsid w:val="00602816"/>
    <w:rsid w:val="00604ACB"/>
    <w:rsid w:val="00606C5B"/>
    <w:rsid w:val="00610947"/>
    <w:rsid w:val="00612F03"/>
    <w:rsid w:val="006171AA"/>
    <w:rsid w:val="006178C3"/>
    <w:rsid w:val="00621BAF"/>
    <w:rsid w:val="0062410E"/>
    <w:rsid w:val="00626CE8"/>
    <w:rsid w:val="00661621"/>
    <w:rsid w:val="006711F4"/>
    <w:rsid w:val="0068140B"/>
    <w:rsid w:val="00685825"/>
    <w:rsid w:val="0069347C"/>
    <w:rsid w:val="006A1902"/>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46229"/>
    <w:rsid w:val="007506EE"/>
    <w:rsid w:val="0075447F"/>
    <w:rsid w:val="00754A2D"/>
    <w:rsid w:val="007643CE"/>
    <w:rsid w:val="00764ADF"/>
    <w:rsid w:val="00765D0B"/>
    <w:rsid w:val="00766157"/>
    <w:rsid w:val="00767F68"/>
    <w:rsid w:val="0077490A"/>
    <w:rsid w:val="007775EF"/>
    <w:rsid w:val="00780D87"/>
    <w:rsid w:val="007945E3"/>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27294"/>
    <w:rsid w:val="0083338D"/>
    <w:rsid w:val="008701AB"/>
    <w:rsid w:val="0087139A"/>
    <w:rsid w:val="00877798"/>
    <w:rsid w:val="008802DB"/>
    <w:rsid w:val="00881967"/>
    <w:rsid w:val="00885F48"/>
    <w:rsid w:val="00890F76"/>
    <w:rsid w:val="0089274E"/>
    <w:rsid w:val="008974BC"/>
    <w:rsid w:val="008A08FA"/>
    <w:rsid w:val="008E1146"/>
    <w:rsid w:val="008E70E5"/>
    <w:rsid w:val="008F50DB"/>
    <w:rsid w:val="008F5238"/>
    <w:rsid w:val="008F7723"/>
    <w:rsid w:val="00904BC8"/>
    <w:rsid w:val="00911248"/>
    <w:rsid w:val="00913A4E"/>
    <w:rsid w:val="00925F75"/>
    <w:rsid w:val="00941FB4"/>
    <w:rsid w:val="0094340F"/>
    <w:rsid w:val="00971108"/>
    <w:rsid w:val="0097410F"/>
    <w:rsid w:val="00974280"/>
    <w:rsid w:val="0097435E"/>
    <w:rsid w:val="00974393"/>
    <w:rsid w:val="0097704C"/>
    <w:rsid w:val="00986E71"/>
    <w:rsid w:val="00991865"/>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3464"/>
    <w:rsid w:val="00A571FE"/>
    <w:rsid w:val="00A636AF"/>
    <w:rsid w:val="00A773EC"/>
    <w:rsid w:val="00A83D6A"/>
    <w:rsid w:val="00AA03DB"/>
    <w:rsid w:val="00AA164E"/>
    <w:rsid w:val="00AA3B2D"/>
    <w:rsid w:val="00AA7268"/>
    <w:rsid w:val="00AB0D6D"/>
    <w:rsid w:val="00AB68DD"/>
    <w:rsid w:val="00AC2B0B"/>
    <w:rsid w:val="00AD35D8"/>
    <w:rsid w:val="00AD6BB8"/>
    <w:rsid w:val="00AE54A3"/>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85158"/>
    <w:rsid w:val="00B95E1A"/>
    <w:rsid w:val="00BB4808"/>
    <w:rsid w:val="00BD62E5"/>
    <w:rsid w:val="00BD715F"/>
    <w:rsid w:val="00BD7A11"/>
    <w:rsid w:val="00BE0134"/>
    <w:rsid w:val="00BE421E"/>
    <w:rsid w:val="00BE428E"/>
    <w:rsid w:val="00BE6A42"/>
    <w:rsid w:val="00BE72AA"/>
    <w:rsid w:val="00BF009A"/>
    <w:rsid w:val="00BF2167"/>
    <w:rsid w:val="00BF4E21"/>
    <w:rsid w:val="00BF6AB5"/>
    <w:rsid w:val="00C03182"/>
    <w:rsid w:val="00C10C97"/>
    <w:rsid w:val="00C13FF4"/>
    <w:rsid w:val="00C41CE2"/>
    <w:rsid w:val="00C452E4"/>
    <w:rsid w:val="00C53D36"/>
    <w:rsid w:val="00C57E0D"/>
    <w:rsid w:val="00C616FC"/>
    <w:rsid w:val="00C636EE"/>
    <w:rsid w:val="00C672E3"/>
    <w:rsid w:val="00C7181C"/>
    <w:rsid w:val="00C73C73"/>
    <w:rsid w:val="00C748B2"/>
    <w:rsid w:val="00C75F27"/>
    <w:rsid w:val="00C76A21"/>
    <w:rsid w:val="00C85BE4"/>
    <w:rsid w:val="00C865F7"/>
    <w:rsid w:val="00CA3B61"/>
    <w:rsid w:val="00CA6F62"/>
    <w:rsid w:val="00CB05CD"/>
    <w:rsid w:val="00CB268F"/>
    <w:rsid w:val="00CC5C8E"/>
    <w:rsid w:val="00CD046D"/>
    <w:rsid w:val="00CD15F8"/>
    <w:rsid w:val="00CD207F"/>
    <w:rsid w:val="00CE30FF"/>
    <w:rsid w:val="00CE4E73"/>
    <w:rsid w:val="00CF0128"/>
    <w:rsid w:val="00CF0812"/>
    <w:rsid w:val="00CF1F59"/>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02BF"/>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0DC6"/>
    <w:rsid w:val="00FA21BD"/>
    <w:rsid w:val="00FB46C7"/>
    <w:rsid w:val="00FC2B5F"/>
    <w:rsid w:val="00FD0009"/>
    <w:rsid w:val="00FD51B5"/>
    <w:rsid w:val="00FE576F"/>
    <w:rsid w:val="00FF1DB7"/>
    <w:rsid w:val="00FF402A"/>
    <w:rsid w:val="00FF690A"/>
    <w:rsid w:val="019C5A24"/>
    <w:rsid w:val="03681C30"/>
    <w:rsid w:val="04BE31CF"/>
    <w:rsid w:val="0AD05CDE"/>
    <w:rsid w:val="0DFB7381"/>
    <w:rsid w:val="101126FB"/>
    <w:rsid w:val="131831F7"/>
    <w:rsid w:val="13DD182C"/>
    <w:rsid w:val="1F9E1891"/>
    <w:rsid w:val="2A805FE5"/>
    <w:rsid w:val="350A1AC5"/>
    <w:rsid w:val="37E5414F"/>
    <w:rsid w:val="390E784A"/>
    <w:rsid w:val="3EBF73C0"/>
    <w:rsid w:val="3F4E515C"/>
    <w:rsid w:val="41C62FFE"/>
    <w:rsid w:val="460C43AB"/>
    <w:rsid w:val="4FD004B4"/>
    <w:rsid w:val="53BC3944"/>
    <w:rsid w:val="55F731B5"/>
    <w:rsid w:val="5E013299"/>
    <w:rsid w:val="624E3135"/>
    <w:rsid w:val="6D72573D"/>
    <w:rsid w:val="786C02C8"/>
    <w:rsid w:val="7C770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basedOn w:val="a0"/>
    <w:link w:val="a4"/>
    <w:qFormat/>
    <w:rPr>
      <w:kern w:val="2"/>
      <w:sz w:val="18"/>
      <w:szCs w:val="18"/>
    </w:rPr>
  </w:style>
  <w:style w:type="character" w:customStyle="1" w:styleId="Char0">
    <w:name w:val="批注框文本 Char"/>
    <w:basedOn w:val="a0"/>
    <w:link w:val="a5"/>
    <w:rPr>
      <w:kern w:val="2"/>
      <w:sz w:val="18"/>
      <w:szCs w:val="18"/>
    </w:rPr>
  </w:style>
  <w:style w:type="character" w:customStyle="1" w:styleId="Char1">
    <w:name w:val="纯文本 Char"/>
    <w:basedOn w:val="a0"/>
    <w:link w:val="a6"/>
    <w:uiPriority w:val="99"/>
    <w:qFormat/>
    <w:rPr>
      <w:rFonts w:ascii="宋体" w:hAnsi="Courier New" w:cs="Courier New"/>
      <w:kern w:val="2"/>
      <w:sz w:val="21"/>
      <w:szCs w:val="21"/>
    </w:rPr>
  </w:style>
  <w:style w:type="paragraph" w:styleId="a6">
    <w:name w:val="Plain Text"/>
    <w:basedOn w:val="a"/>
    <w:link w:val="Char1"/>
    <w:uiPriority w:val="99"/>
    <w:rPr>
      <w:rFonts w:ascii="宋体" w:hAnsi="Courier New" w:cs="Courier New"/>
      <w:szCs w:val="21"/>
    </w:rPr>
  </w:style>
  <w:style w:type="paragraph" w:styleId="a5">
    <w:name w:val="Balloon Text"/>
    <w:basedOn w:val="a"/>
    <w:link w:val="Char0"/>
    <w:qFormat/>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pPr>
      <w:tabs>
        <w:tab w:val="center" w:pos="4153"/>
        <w:tab w:val="right" w:pos="8306"/>
      </w:tabs>
      <w:snapToGrid w:val="0"/>
      <w:jc w:val="left"/>
    </w:pPr>
    <w:rPr>
      <w:sz w:val="18"/>
      <w:szCs w:val="18"/>
    </w:rPr>
  </w:style>
  <w:style w:type="paragraph" w:customStyle="1" w:styleId="ParaCharCharCharCharCharCharChar">
    <w:name w:val="默认段落字体 Para Char Char Char Char Char Char Char"/>
    <w:basedOn w:val="a"/>
  </w:style>
  <w:style w:type="character" w:customStyle="1" w:styleId="Char2">
    <w:name w:val="页脚 Char"/>
    <w:basedOn w:val="a0"/>
    <w:link w:val="a7"/>
    <w:uiPriority w:val="99"/>
    <w:rsid w:val="00C13FF4"/>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3735</Characters>
  <Application>Microsoft Office Word</Application>
  <DocSecurity>0</DocSecurity>
  <Lines>31</Lines>
  <Paragraphs>8</Paragraphs>
  <ScaleCrop>false</ScaleCrop>
  <Company>Lenovo (Beijing) Limited</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cp:revision>
  <cp:lastPrinted>2023-03-10T07:38:00Z</cp:lastPrinted>
  <dcterms:created xsi:type="dcterms:W3CDTF">2023-10-28T04:31:00Z</dcterms:created>
  <dcterms:modified xsi:type="dcterms:W3CDTF">2023-10-28T04:31:00Z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