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eastAsia" w:ascii="宋体" w:hAnsi="宋体" w:eastAsia="宋体" w:cs="宋体"/>
        </w:rPr>
      </w:pPr>
    </w:p>
    <w:p>
      <w:pPr>
        <w:pStyle w:val="12"/>
        <w:rPr>
          <w:rFonts w:hint="eastAsia" w:ascii="宋体" w:hAnsi="宋体" w:eastAsia="宋体" w:cs="宋体"/>
        </w:rPr>
      </w:pPr>
    </w:p>
    <w:p>
      <w:pPr>
        <w:pStyle w:val="7"/>
        <w:rPr>
          <w:rFonts w:hint="eastAsia"/>
        </w:rPr>
      </w:pPr>
      <w:r>
        <w:rPr>
          <w:rFonts w:hint="eastAsia"/>
        </w:rPr>
        <w:t>中华人民共和国最高人民法院</w:t>
      </w:r>
    </w:p>
    <w:p>
      <w:pPr>
        <w:pStyle w:val="7"/>
        <w:rPr>
          <w:rFonts w:hint="eastAsia"/>
        </w:rPr>
      </w:pPr>
      <w:r>
        <w:rPr>
          <w:rFonts w:hint="eastAsia"/>
        </w:rPr>
        <w:t>公</w:t>
      </w:r>
      <w:r>
        <w:rPr>
          <w:rFonts w:hint="eastAsia"/>
          <w:lang w:eastAsia="zh-CN"/>
        </w:rPr>
        <w:t xml:space="preserve">    </w:t>
      </w:r>
      <w:r>
        <w:rPr>
          <w:rFonts w:hint="eastAsia"/>
        </w:rPr>
        <w:t>告</w:t>
      </w:r>
    </w:p>
    <w:p>
      <w:pPr>
        <w:pStyle w:val="12"/>
        <w:rPr>
          <w:rFonts w:hint="eastAsia" w:ascii="宋体" w:hAnsi="宋体" w:eastAsia="宋体" w:cs="宋体"/>
        </w:rPr>
      </w:pPr>
    </w:p>
    <w:p>
      <w:pPr>
        <w:pStyle w:val="12"/>
        <w:rPr>
          <w:rFonts w:hint="eastAsia"/>
        </w:rPr>
      </w:pPr>
      <w:r>
        <w:rPr>
          <w:rFonts w:hint="eastAsia"/>
        </w:rPr>
        <w:t>最高人民法院《关于〈中华人民共和国刑法修正案（九）〉时间效力问题的解释》已于2015年10月19日最高人民法院审判委员会第1664次会议通过，现予公布，自2015年11月1日起施行。</w:t>
      </w:r>
    </w:p>
    <w:p>
      <w:pPr>
        <w:pStyle w:val="12"/>
        <w:rPr>
          <w:rFonts w:hint="eastAsia" w:ascii="宋体" w:hAnsi="宋体" w:eastAsia="宋体" w:cs="宋体"/>
        </w:rPr>
      </w:pPr>
    </w:p>
    <w:p>
      <w:pPr>
        <w:pStyle w:val="12"/>
        <w:rPr>
          <w:rFonts w:hint="eastAsia" w:ascii="宋体" w:hAnsi="宋体" w:eastAsia="宋体" w:cs="宋体"/>
        </w:rPr>
      </w:pPr>
    </w:p>
    <w:p>
      <w:pPr>
        <w:pStyle w:val="10"/>
        <w:rPr>
          <w:rFonts w:hint="eastAsia"/>
        </w:rPr>
        <w:sectPr>
          <w:footerReference r:id="rId3" w:type="default"/>
          <w:footerReference r:id="rId4" w:type="even"/>
          <w:pgSz w:w="11906" w:h="16838"/>
          <w:pgMar w:top="2098" w:right="1474" w:bottom="1984" w:left="1587" w:header="851" w:footer="1587" w:gutter="0"/>
          <w:pgNumType w:fmt="decimal" w:start="1"/>
          <w:cols w:space="720" w:num="1"/>
          <w:rtlGutter w:val="0"/>
          <w:docGrid w:type="lines" w:linePitch="312" w:charSpace="0"/>
        </w:sectPr>
      </w:pPr>
      <w:r>
        <w:rPr>
          <w:rFonts w:hint="eastAsia"/>
        </w:rPr>
        <w:t>2015年10月</w:t>
      </w:r>
      <w:bookmarkStart w:id="0" w:name="_GoBack"/>
      <w:bookmarkEnd w:id="0"/>
      <w:r>
        <w:rPr>
          <w:rFonts w:hint="eastAsia"/>
        </w:rPr>
        <w:t>29日</w:t>
      </w:r>
    </w:p>
    <w:p>
      <w:pPr>
        <w:pStyle w:val="12"/>
        <w:rPr>
          <w:rFonts w:hint="eastAsia"/>
        </w:rPr>
      </w:pPr>
    </w:p>
    <w:p>
      <w:pPr>
        <w:pStyle w:val="12"/>
        <w:rPr>
          <w:rFonts w:hint="eastAsia" w:ascii="宋体" w:hAnsi="宋体" w:eastAsia="宋体" w:cs="宋体"/>
        </w:rPr>
      </w:pPr>
    </w:p>
    <w:p>
      <w:pPr>
        <w:pStyle w:val="7"/>
        <w:rPr>
          <w:rFonts w:hint="eastAsia"/>
        </w:rPr>
      </w:pPr>
      <w:r>
        <w:rPr>
          <w:rFonts w:hint="eastAsia"/>
        </w:rPr>
        <w:t>最高人民法院</w:t>
      </w:r>
    </w:p>
    <w:p>
      <w:pPr>
        <w:pStyle w:val="7"/>
        <w:rPr>
          <w:rFonts w:hint="eastAsia"/>
        </w:rPr>
      </w:pPr>
      <w:r>
        <w:rPr>
          <w:rFonts w:hint="eastAsia"/>
        </w:rPr>
        <w:t>关于《中华人民共和国刑法修正案（九）》</w:t>
      </w:r>
    </w:p>
    <w:p>
      <w:pPr>
        <w:pStyle w:val="7"/>
        <w:rPr>
          <w:rFonts w:hint="eastAsia"/>
        </w:rPr>
      </w:pPr>
      <w:r>
        <w:rPr>
          <w:rFonts w:hint="eastAsia"/>
        </w:rPr>
        <w:t>时间效力问题的解释</w:t>
      </w:r>
    </w:p>
    <w:p>
      <w:pPr>
        <w:pStyle w:val="12"/>
        <w:rPr>
          <w:rFonts w:hint="eastAsia" w:ascii="宋体" w:hAnsi="宋体" w:eastAsia="宋体" w:cs="宋体"/>
        </w:rPr>
      </w:pPr>
    </w:p>
    <w:p>
      <w:pPr>
        <w:pStyle w:val="19"/>
        <w:rPr>
          <w:rFonts w:hint="eastAsia"/>
        </w:rPr>
      </w:pPr>
      <w:r>
        <w:rPr>
          <w:rFonts w:hint="eastAsia"/>
        </w:rPr>
        <w:t>法释〔2015〕19号</w:t>
      </w:r>
    </w:p>
    <w:p>
      <w:pPr>
        <w:pStyle w:val="12"/>
        <w:rPr>
          <w:rFonts w:hint="eastAsia" w:ascii="宋体" w:hAnsi="宋体" w:eastAsia="宋体" w:cs="宋体"/>
        </w:rPr>
      </w:pPr>
    </w:p>
    <w:p>
      <w:pPr>
        <w:pStyle w:val="12"/>
        <w:rPr>
          <w:rStyle w:val="25"/>
          <w:rFonts w:hint="eastAsia"/>
        </w:rPr>
      </w:pPr>
      <w:r>
        <w:rPr>
          <w:rFonts w:hint="eastAsia"/>
        </w:rPr>
        <w:t>为正确适用《中华人民共和国刑法修正案（九）》，根据《中华人民共和国刑法》第十二条规定，现就人民法院2015年11月1日以后审理的刑事案件，具体适用修正前后刑法的有关问题规定如下：</w:t>
      </w:r>
    </w:p>
    <w:p>
      <w:pPr>
        <w:pStyle w:val="12"/>
        <w:rPr>
          <w:rStyle w:val="25"/>
          <w:rFonts w:hint="eastAsia"/>
        </w:rPr>
      </w:pPr>
      <w:r>
        <w:rPr>
          <w:rStyle w:val="25"/>
          <w:rFonts w:hint="eastAsia"/>
        </w:rPr>
        <w:t>第一</w:t>
      </w:r>
      <w:r>
        <w:rPr>
          <w:rStyle w:val="25"/>
          <w:rFonts w:hint="eastAsia"/>
          <w:lang w:eastAsia="zh-CN"/>
        </w:rPr>
        <w:t>条</w:t>
      </w:r>
      <w:r>
        <w:rPr>
          <w:rFonts w:hint="eastAsia"/>
          <w:lang w:eastAsia="zh-CN"/>
        </w:rPr>
        <w:t>　</w:t>
      </w:r>
      <w:r>
        <w:rPr>
          <w:rFonts w:hint="eastAsia"/>
        </w:rPr>
        <w:t>对于2015年10月31日以前因利用职业便利实施犯罪，或者实施违背职业要求的特定义务的犯罪的，不适用修正后刑法第三十七条之一第一款的规定。其他法律、行政法规另有规定的，从其规定。</w:t>
      </w:r>
    </w:p>
    <w:p>
      <w:pPr>
        <w:pStyle w:val="12"/>
        <w:rPr>
          <w:rStyle w:val="25"/>
          <w:rFonts w:hint="eastAsia"/>
        </w:rPr>
      </w:pPr>
      <w:r>
        <w:rPr>
          <w:rStyle w:val="25"/>
          <w:rFonts w:hint="eastAsia"/>
        </w:rPr>
        <w:t>第二</w:t>
      </w:r>
      <w:r>
        <w:rPr>
          <w:rStyle w:val="25"/>
          <w:rFonts w:hint="eastAsia"/>
          <w:lang w:eastAsia="zh-CN"/>
        </w:rPr>
        <w:t>条</w:t>
      </w:r>
      <w:r>
        <w:rPr>
          <w:rFonts w:hint="eastAsia"/>
          <w:lang w:eastAsia="zh-CN"/>
        </w:rPr>
        <w:t>　</w:t>
      </w:r>
      <w:r>
        <w:rPr>
          <w:rFonts w:hint="eastAsia"/>
        </w:rPr>
        <w:t>对于被判处死刑缓期执行的犯罪分子，在死刑缓期执行期间，且在2015年10月31日以前故意犯罪的，适用修正后刑法第五十条第一款的规定。</w:t>
      </w:r>
    </w:p>
    <w:p>
      <w:pPr>
        <w:pStyle w:val="12"/>
        <w:rPr>
          <w:rStyle w:val="25"/>
          <w:rFonts w:hint="eastAsia"/>
        </w:rPr>
      </w:pPr>
      <w:r>
        <w:rPr>
          <w:rStyle w:val="25"/>
          <w:rFonts w:hint="eastAsia"/>
        </w:rPr>
        <w:t>第三</w:t>
      </w:r>
      <w:r>
        <w:rPr>
          <w:rStyle w:val="25"/>
          <w:rFonts w:hint="eastAsia"/>
          <w:lang w:eastAsia="zh-CN"/>
        </w:rPr>
        <w:t>条</w:t>
      </w:r>
      <w:r>
        <w:rPr>
          <w:rFonts w:hint="eastAsia"/>
          <w:lang w:eastAsia="zh-CN"/>
        </w:rPr>
        <w:t>　</w:t>
      </w:r>
      <w:r>
        <w:rPr>
          <w:rFonts w:hint="eastAsia"/>
        </w:rPr>
        <w:t>对于2015年10月31日以前一人犯数罪，数罪中有判处有期徒刑和拘役，有期徒刑和管制，或者拘役和管制，予以数罪并罚的，适用修正后刑法第六十九条第二款的规定。</w:t>
      </w:r>
    </w:p>
    <w:p>
      <w:pPr>
        <w:pStyle w:val="12"/>
        <w:rPr>
          <w:rStyle w:val="25"/>
          <w:rFonts w:hint="eastAsia"/>
        </w:rPr>
      </w:pPr>
      <w:r>
        <w:rPr>
          <w:rStyle w:val="25"/>
          <w:rFonts w:hint="eastAsia"/>
        </w:rPr>
        <w:t>第四</w:t>
      </w:r>
      <w:r>
        <w:rPr>
          <w:rStyle w:val="25"/>
          <w:rFonts w:hint="eastAsia"/>
          <w:lang w:eastAsia="zh-CN"/>
        </w:rPr>
        <w:t>条</w:t>
      </w:r>
      <w:r>
        <w:rPr>
          <w:rFonts w:hint="eastAsia"/>
          <w:lang w:eastAsia="zh-CN"/>
        </w:rPr>
        <w:t>　</w:t>
      </w:r>
      <w:r>
        <w:rPr>
          <w:rFonts w:hint="eastAsia"/>
        </w:rPr>
        <w:t>对于2015年10月31日以前通过信息网络实施的刑法第二百四十六条第一款规定的侮辱、诽谤行为，被害人向人民法院告诉，但提供证据确有困难的，适用修正后刑法第二百四十六条第三款的规定。</w:t>
      </w:r>
    </w:p>
    <w:p>
      <w:pPr>
        <w:pStyle w:val="12"/>
        <w:rPr>
          <w:rStyle w:val="25"/>
          <w:rFonts w:hint="eastAsia"/>
        </w:rPr>
      </w:pPr>
      <w:r>
        <w:rPr>
          <w:rStyle w:val="25"/>
          <w:rFonts w:hint="eastAsia"/>
        </w:rPr>
        <w:t>第五</w:t>
      </w:r>
      <w:r>
        <w:rPr>
          <w:rStyle w:val="25"/>
          <w:rFonts w:hint="eastAsia"/>
          <w:lang w:eastAsia="zh-CN"/>
        </w:rPr>
        <w:t>条</w:t>
      </w:r>
      <w:r>
        <w:rPr>
          <w:rFonts w:hint="eastAsia"/>
          <w:lang w:eastAsia="zh-CN"/>
        </w:rPr>
        <w:t>　</w:t>
      </w:r>
      <w:r>
        <w:rPr>
          <w:rFonts w:hint="eastAsia"/>
        </w:rPr>
        <w:t>对于2015年10月31日以前实施的刑法第二百六十条第一款规定的虐待行为，被害人没有能力告诉，或者因受到强制、威吓无法告诉的，适用修正后刑法第二百六十条第三款的规定。</w:t>
      </w:r>
    </w:p>
    <w:p>
      <w:pPr>
        <w:pStyle w:val="12"/>
        <w:rPr>
          <w:rStyle w:val="25"/>
          <w:rFonts w:hint="eastAsia"/>
        </w:rPr>
      </w:pPr>
      <w:r>
        <w:rPr>
          <w:rStyle w:val="25"/>
          <w:rFonts w:hint="eastAsia"/>
        </w:rPr>
        <w:t>第六</w:t>
      </w:r>
      <w:r>
        <w:rPr>
          <w:rStyle w:val="25"/>
          <w:rFonts w:hint="eastAsia"/>
          <w:lang w:eastAsia="zh-CN"/>
        </w:rPr>
        <w:t>条</w:t>
      </w:r>
      <w:r>
        <w:rPr>
          <w:rFonts w:hint="eastAsia"/>
          <w:lang w:eastAsia="zh-CN"/>
        </w:rPr>
        <w:t>　</w:t>
      </w:r>
      <w:r>
        <w:rPr>
          <w:rFonts w:hint="eastAsia"/>
        </w:rPr>
        <w:t>对于2015年10月31日以前组织考试作弊，为他人组织考试作弊提供作弊器材或者其他帮助，以及非法向他人出售或者提供考试试题、答案，根据修正前刑法应当以非法获取国家秘密罪、非法生产、销售间谍专用器材罪或者故意泄露国家秘密罪等追究刑事责任的，适用修正前刑法的有关规定。但是，根据修正后刑法第二百八十四条之一的规定处刑较轻的，适用修正后刑法的有关规定。</w:t>
      </w:r>
    </w:p>
    <w:p>
      <w:pPr>
        <w:pStyle w:val="12"/>
        <w:rPr>
          <w:rFonts w:hint="eastAsia"/>
        </w:rPr>
      </w:pPr>
      <w:r>
        <w:rPr>
          <w:rStyle w:val="25"/>
          <w:rFonts w:hint="eastAsia"/>
        </w:rPr>
        <w:t>第七</w:t>
      </w:r>
      <w:r>
        <w:rPr>
          <w:rStyle w:val="25"/>
          <w:rFonts w:hint="eastAsia"/>
          <w:lang w:eastAsia="zh-CN"/>
        </w:rPr>
        <w:t>条</w:t>
      </w:r>
      <w:r>
        <w:rPr>
          <w:rFonts w:hint="eastAsia"/>
          <w:lang w:eastAsia="zh-CN"/>
        </w:rPr>
        <w:t>　</w:t>
      </w:r>
      <w:r>
        <w:rPr>
          <w:rFonts w:hint="eastAsia"/>
        </w:rPr>
        <w:t>对于2015年10月31日以前以捏造的事实提起民事诉讼，妨害司法秩序或者严重侵害他人合法权益，根据修正前刑法应当以伪造公司、企业、事业单位、人民团体印章罪或者妨害作证罪等追究刑事责任的，适用修正前刑法的有关规定。但是，根据修正后刑法第三百零七条之一的规定处刑较轻的，适用修正后刑法的有关规定。</w:t>
      </w:r>
    </w:p>
    <w:p>
      <w:pPr>
        <w:pStyle w:val="12"/>
        <w:rPr>
          <w:rStyle w:val="25"/>
          <w:rFonts w:hint="eastAsia"/>
        </w:rPr>
      </w:pPr>
      <w:r>
        <w:rPr>
          <w:rFonts w:hint="eastAsia"/>
        </w:rPr>
        <w:t>实施第一款行为，非法占有他人财产或者逃避合法债务，根据修正前刑法应当以诈骗罪、职务侵占罪或者贪污罪等追究刑事责任的，适用修正前刑法的有关规定。</w:t>
      </w:r>
    </w:p>
    <w:p>
      <w:pPr>
        <w:pStyle w:val="12"/>
        <w:rPr>
          <w:rStyle w:val="25"/>
          <w:rFonts w:hint="eastAsia"/>
        </w:rPr>
      </w:pPr>
      <w:r>
        <w:rPr>
          <w:rStyle w:val="25"/>
          <w:rFonts w:hint="eastAsia"/>
        </w:rPr>
        <w:t>第八</w:t>
      </w:r>
      <w:r>
        <w:rPr>
          <w:rStyle w:val="25"/>
          <w:rFonts w:hint="eastAsia"/>
          <w:lang w:eastAsia="zh-CN"/>
        </w:rPr>
        <w:t>条</w:t>
      </w:r>
      <w:r>
        <w:rPr>
          <w:rFonts w:hint="eastAsia"/>
          <w:lang w:eastAsia="zh-CN"/>
        </w:rPr>
        <w:t>　</w:t>
      </w:r>
      <w:r>
        <w:rPr>
          <w:rFonts w:hint="eastAsia"/>
        </w:rPr>
        <w:t>对于2015年10月31日以前实施贪污、受贿行为，罪行极其严重，根据修正前刑法判处死刑缓期执行不能体现罪刑相适应原则，而根据修正后刑法判处死刑缓期执行同时决定在其死刑缓期执行二年期满依法减为无期徒刑后，终身监禁，不得减刑、假释可以罚当其罪的，适用修正后刑法第三百八十三条第四款的规定。根据修正前刑法判处死刑缓期执行足以罚当其罪的，不适用修正后刑法第三百八十三条第四款的规定。</w:t>
      </w:r>
    </w:p>
    <w:p>
      <w:pPr>
        <w:pStyle w:val="12"/>
        <w:rPr>
          <w:rFonts w:hint="eastAsia"/>
          <w:lang w:eastAsia="zh-CN"/>
        </w:rPr>
      </w:pPr>
      <w:r>
        <w:rPr>
          <w:rStyle w:val="25"/>
          <w:rFonts w:hint="eastAsia"/>
        </w:rPr>
        <w:t>第九</w:t>
      </w:r>
      <w:r>
        <w:rPr>
          <w:rStyle w:val="25"/>
          <w:rFonts w:hint="eastAsia"/>
          <w:lang w:eastAsia="zh-CN"/>
        </w:rPr>
        <w:t>条</w:t>
      </w:r>
      <w:r>
        <w:rPr>
          <w:rFonts w:hint="eastAsia"/>
          <w:lang w:eastAsia="zh-CN"/>
        </w:rPr>
        <w:t>　</w:t>
      </w:r>
      <w:r>
        <w:rPr>
          <w:rFonts w:hint="eastAsia"/>
        </w:rPr>
        <w:t>本解释自2015年11月1日起施行。</w:t>
      </w:r>
    </w:p>
    <w:sectPr>
      <w:footerReference r:id="rId5" w:type="default"/>
      <w:footerReference r:id="rId6" w:type="even"/>
      <w:pgSz w:w="11906" w:h="16838"/>
      <w:pgMar w:top="2098" w:right="1474" w:bottom="1984" w:left="1587" w:header="851" w:footer="1587"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F1393"/>
    <w:rsid w:val="00323D76"/>
    <w:rsid w:val="02204689"/>
    <w:rsid w:val="02380A4E"/>
    <w:rsid w:val="02C54CFB"/>
    <w:rsid w:val="042F174E"/>
    <w:rsid w:val="0751543E"/>
    <w:rsid w:val="0BE369DE"/>
    <w:rsid w:val="0F9D48A9"/>
    <w:rsid w:val="0FC66F39"/>
    <w:rsid w:val="135B4974"/>
    <w:rsid w:val="149F1393"/>
    <w:rsid w:val="19EF53F7"/>
    <w:rsid w:val="1C547AC8"/>
    <w:rsid w:val="20194FCD"/>
    <w:rsid w:val="211007F7"/>
    <w:rsid w:val="224D5C1E"/>
    <w:rsid w:val="28B53323"/>
    <w:rsid w:val="28C01C4F"/>
    <w:rsid w:val="2A483D38"/>
    <w:rsid w:val="2A844039"/>
    <w:rsid w:val="2CFE6EE4"/>
    <w:rsid w:val="2D725F92"/>
    <w:rsid w:val="302E782D"/>
    <w:rsid w:val="325C564C"/>
    <w:rsid w:val="36AE6775"/>
    <w:rsid w:val="38787F7C"/>
    <w:rsid w:val="39191BFA"/>
    <w:rsid w:val="3D717517"/>
    <w:rsid w:val="3FBC61B7"/>
    <w:rsid w:val="43051922"/>
    <w:rsid w:val="4AEF215E"/>
    <w:rsid w:val="4DA15956"/>
    <w:rsid w:val="4E7D2A86"/>
    <w:rsid w:val="501B3EB2"/>
    <w:rsid w:val="5027117E"/>
    <w:rsid w:val="56C00D65"/>
    <w:rsid w:val="65586BE5"/>
    <w:rsid w:val="6D800228"/>
    <w:rsid w:val="6DAD6BF0"/>
    <w:rsid w:val="6E1B4105"/>
    <w:rsid w:val="6EB66F23"/>
    <w:rsid w:val="75FA67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目录"/>
    <w:basedOn w:val="1"/>
    <w:qFormat/>
    <w:uiPriority w:val="0"/>
    <w:pPr>
      <w:spacing w:line="560" w:lineRule="exact"/>
      <w:jc w:val="center"/>
    </w:pPr>
    <w:rPr>
      <w:rFonts w:ascii="楷体_GB2312" w:hAnsi="楷体_GB2312" w:eastAsia="楷体_GB2312" w:cs="楷体_GB2312"/>
      <w:sz w:val="32"/>
      <w:szCs w:val="32"/>
    </w:rPr>
  </w:style>
  <w:style w:type="paragraph" w:customStyle="1" w:styleId="7">
    <w:name w:val="标题名"/>
    <w:basedOn w:val="1"/>
    <w:qFormat/>
    <w:uiPriority w:val="0"/>
    <w:pPr>
      <w:spacing w:line="560" w:lineRule="exact"/>
      <w:jc w:val="center"/>
    </w:pPr>
    <w:rPr>
      <w:rFonts w:hint="eastAsia" w:ascii="宋体" w:hAnsi="宋体" w:cs="宋体"/>
      <w:sz w:val="44"/>
      <w:szCs w:val="44"/>
    </w:rPr>
  </w:style>
  <w:style w:type="paragraph" w:customStyle="1" w:styleId="8">
    <w:name w:val="表字居中"/>
    <w:basedOn w:val="1"/>
    <w:qFormat/>
    <w:uiPriority w:val="0"/>
    <w:pPr>
      <w:spacing w:line="560" w:lineRule="exact"/>
      <w:jc w:val="center"/>
    </w:pPr>
    <w:rPr>
      <w:rFonts w:ascii="宋体" w:hAnsi="宋体" w:cs="宋体"/>
      <w:szCs w:val="21"/>
    </w:rPr>
  </w:style>
  <w:style w:type="paragraph" w:customStyle="1" w:styleId="9">
    <w:name w:val="一、"/>
    <w:basedOn w:val="1"/>
    <w:qFormat/>
    <w:uiPriority w:val="0"/>
    <w:pPr>
      <w:spacing w:line="560" w:lineRule="exact"/>
      <w:ind w:firstLine="420" w:firstLineChars="200"/>
    </w:pPr>
    <w:rPr>
      <w:rFonts w:ascii="黑体" w:hAnsi="黑体" w:eastAsia="黑体" w:cs="黑体"/>
      <w:sz w:val="32"/>
      <w:szCs w:val="32"/>
    </w:rPr>
  </w:style>
  <w:style w:type="paragraph" w:customStyle="1" w:styleId="10">
    <w:name w:val="落款"/>
    <w:basedOn w:val="1"/>
    <w:qFormat/>
    <w:uiPriority w:val="0"/>
    <w:pPr>
      <w:spacing w:line="560" w:lineRule="exact"/>
      <w:ind w:right="630" w:rightChars="300"/>
      <w:jc w:val="right"/>
    </w:pPr>
    <w:rPr>
      <w:rFonts w:ascii="仿宋_GB2312" w:hAnsi="仿宋_GB2312" w:eastAsia="仿宋_GB2312" w:cs="仿宋_GB2312"/>
      <w:sz w:val="32"/>
      <w:szCs w:val="32"/>
    </w:rPr>
  </w:style>
  <w:style w:type="paragraph" w:customStyle="1" w:styleId="11">
    <w:name w:val="附/附件"/>
    <w:basedOn w:val="1"/>
    <w:qFormat/>
    <w:uiPriority w:val="0"/>
    <w:pPr>
      <w:spacing w:line="560" w:lineRule="exact"/>
      <w:jc w:val="left"/>
    </w:pPr>
    <w:rPr>
      <w:rFonts w:ascii="黑体" w:hAnsi="黑体" w:eastAsia="黑体" w:cs="黑体"/>
      <w:sz w:val="32"/>
      <w:szCs w:val="32"/>
    </w:rPr>
  </w:style>
  <w:style w:type="paragraph" w:customStyle="1" w:styleId="12">
    <w:name w:val="正文字体"/>
    <w:basedOn w:val="1"/>
    <w:qFormat/>
    <w:uiPriority w:val="0"/>
    <w:pPr>
      <w:spacing w:line="560" w:lineRule="exact"/>
      <w:ind w:firstLine="640" w:firstLineChars="200"/>
    </w:pPr>
    <w:rPr>
      <w:rFonts w:ascii="仿宋_GB2312" w:hAnsi="仿宋_GB2312" w:eastAsia="仿宋_GB2312" w:cs="仿宋_GB2312"/>
      <w:sz w:val="32"/>
      <w:szCs w:val="32"/>
    </w:rPr>
  </w:style>
  <w:style w:type="paragraph" w:customStyle="1" w:styleId="13">
    <w:name w:val="章"/>
    <w:basedOn w:val="1"/>
    <w:qFormat/>
    <w:uiPriority w:val="0"/>
    <w:pPr>
      <w:spacing w:line="560" w:lineRule="exact"/>
      <w:jc w:val="center"/>
    </w:pPr>
    <w:rPr>
      <w:rFonts w:ascii="黑体" w:hAnsi="黑体" w:eastAsia="黑体" w:cs="黑体"/>
      <w:sz w:val="32"/>
      <w:szCs w:val="32"/>
    </w:rPr>
  </w:style>
  <w:style w:type="paragraph" w:customStyle="1" w:styleId="14">
    <w:name w:val="（一）"/>
    <w:basedOn w:val="1"/>
    <w:qFormat/>
    <w:uiPriority w:val="0"/>
    <w:pPr>
      <w:spacing w:line="560" w:lineRule="exact"/>
      <w:ind w:firstLine="420" w:firstLineChars="200"/>
    </w:pPr>
    <w:rPr>
      <w:rFonts w:ascii="楷体_GB2312" w:hAnsi="楷体_GB2312" w:eastAsia="楷体_GB2312" w:cs="楷体_GB2312"/>
      <w:sz w:val="32"/>
      <w:szCs w:val="32"/>
    </w:rPr>
  </w:style>
  <w:style w:type="paragraph" w:customStyle="1" w:styleId="15">
    <w:name w:val="表字"/>
    <w:basedOn w:val="1"/>
    <w:qFormat/>
    <w:uiPriority w:val="0"/>
    <w:pPr>
      <w:spacing w:line="560" w:lineRule="exact"/>
      <w:jc w:val="left"/>
    </w:pPr>
    <w:rPr>
      <w:rFonts w:ascii="宋体" w:hAnsi="宋体" w:cs="宋体"/>
      <w:szCs w:val="21"/>
    </w:rPr>
  </w:style>
  <w:style w:type="paragraph" w:customStyle="1" w:styleId="16">
    <w:name w:val="修改废止公布内容"/>
    <w:basedOn w:val="1"/>
    <w:qFormat/>
    <w:uiPriority w:val="0"/>
    <w:pPr>
      <w:spacing w:line="560" w:lineRule="exact"/>
      <w:jc w:val="center"/>
    </w:pPr>
    <w:rPr>
      <w:rFonts w:ascii="楷体_GB2312" w:hAnsi="楷体_GB2312" w:eastAsia="楷体_GB2312" w:cs="楷体_GB2312"/>
      <w:sz w:val="32"/>
      <w:szCs w:val="32"/>
    </w:rPr>
  </w:style>
  <w:style w:type="paragraph" w:customStyle="1" w:styleId="17">
    <w:name w:val="正式公布内容"/>
    <w:basedOn w:val="1"/>
    <w:qFormat/>
    <w:uiPriority w:val="0"/>
    <w:pPr>
      <w:spacing w:line="560" w:lineRule="exact"/>
      <w:ind w:left="630" w:leftChars="300" w:right="630" w:rightChars="300" w:firstLine="0" w:firstLineChars="0"/>
    </w:pPr>
    <w:rPr>
      <w:rFonts w:ascii="楷体_GB2312" w:hAnsi="楷体_GB2312" w:eastAsia="楷体_GB2312" w:cs="楷体_GB2312"/>
      <w:sz w:val="32"/>
      <w:szCs w:val="32"/>
    </w:rPr>
  </w:style>
  <w:style w:type="paragraph" w:customStyle="1" w:styleId="18">
    <w:name w:val="目录内容"/>
    <w:basedOn w:val="1"/>
    <w:qFormat/>
    <w:uiPriority w:val="0"/>
    <w:pPr>
      <w:spacing w:line="560" w:lineRule="exact"/>
      <w:jc w:val="left"/>
    </w:pPr>
    <w:rPr>
      <w:rFonts w:ascii="楷体_GB2312" w:hAnsi="楷体_GB2312" w:eastAsia="楷体_GB2312" w:cs="楷体_GB2312"/>
      <w:sz w:val="32"/>
      <w:szCs w:val="32"/>
    </w:rPr>
  </w:style>
  <w:style w:type="paragraph" w:customStyle="1" w:styleId="19">
    <w:name w:val="文号居中"/>
    <w:basedOn w:val="1"/>
    <w:qFormat/>
    <w:uiPriority w:val="0"/>
    <w:pPr>
      <w:spacing w:line="560" w:lineRule="exact"/>
      <w:jc w:val="center"/>
    </w:pPr>
    <w:rPr>
      <w:rFonts w:ascii="楷体_GB2312" w:hAnsi="楷体_GB2312" w:eastAsia="楷体_GB2312" w:cs="楷体_GB2312"/>
      <w:sz w:val="32"/>
      <w:szCs w:val="32"/>
    </w:rPr>
  </w:style>
  <w:style w:type="paragraph" w:customStyle="1" w:styleId="20">
    <w:name w:val="节"/>
    <w:basedOn w:val="1"/>
    <w:qFormat/>
    <w:uiPriority w:val="0"/>
    <w:pPr>
      <w:spacing w:line="560" w:lineRule="exact"/>
      <w:jc w:val="center"/>
    </w:pPr>
    <w:rPr>
      <w:rFonts w:ascii="宋体" w:hAnsi="宋体" w:cs="宋体"/>
      <w:sz w:val="32"/>
      <w:szCs w:val="32"/>
    </w:rPr>
  </w:style>
  <w:style w:type="paragraph" w:customStyle="1" w:styleId="21">
    <w:name w:val="抬头"/>
    <w:basedOn w:val="12"/>
    <w:qFormat/>
    <w:uiPriority w:val="0"/>
    <w:pPr>
      <w:ind w:firstLine="0" w:firstLineChars="0"/>
      <w:jc w:val="left"/>
    </w:pPr>
  </w:style>
  <w:style w:type="paragraph" w:customStyle="1" w:styleId="22">
    <w:name w:val="日期文号"/>
    <w:basedOn w:val="12"/>
    <w:qFormat/>
    <w:uiPriority w:val="0"/>
    <w:pPr>
      <w:ind w:right="1260" w:rightChars="600" w:firstLine="0" w:firstLineChars="0"/>
      <w:jc w:val="right"/>
    </w:pPr>
    <w:rPr>
      <w:rFonts w:ascii="楷体_GB2312" w:hAnsi="楷体_GB2312" w:eastAsia="楷体_GB2312" w:cs="楷体_GB2312"/>
    </w:rPr>
  </w:style>
  <w:style w:type="paragraph" w:customStyle="1" w:styleId="23">
    <w:name w:val="附件1"/>
    <w:basedOn w:val="1"/>
    <w:qFormat/>
    <w:uiPriority w:val="0"/>
    <w:pPr>
      <w:spacing w:line="560" w:lineRule="exact"/>
      <w:jc w:val="left"/>
    </w:pPr>
    <w:rPr>
      <w:rFonts w:ascii="仿宋_GB2312" w:hAnsi="仿宋_GB2312" w:eastAsia="仿宋_GB2312" w:cs="仿宋_GB2312"/>
      <w:sz w:val="32"/>
      <w:szCs w:val="32"/>
    </w:rPr>
  </w:style>
  <w:style w:type="paragraph" w:customStyle="1" w:styleId="24">
    <w:name w:val="表头"/>
    <w:basedOn w:val="1"/>
    <w:qFormat/>
    <w:uiPriority w:val="0"/>
    <w:pPr>
      <w:spacing w:line="560" w:lineRule="exact"/>
      <w:jc w:val="center"/>
    </w:pPr>
    <w:rPr>
      <w:rFonts w:ascii="黑体" w:hAnsi="黑体" w:eastAsia="黑体" w:cs="黑体"/>
      <w:sz w:val="21"/>
      <w:szCs w:val="21"/>
    </w:rPr>
  </w:style>
  <w:style w:type="character" w:customStyle="1" w:styleId="25">
    <w:name w:val="条文"/>
    <w:basedOn w:val="4"/>
    <w:qFormat/>
    <w:uiPriority w:val="0"/>
    <w:rPr>
      <w:rFonts w:ascii="黑体" w:hAnsi="黑体" w:eastAsia="黑体" w:cs="黑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2017-11-02T12:43:00Z</dcterms:created>
  <dc:creator>Administrator</dc:creator>
  <cp:lastModifiedBy>Administrator</cp:lastModifiedBy>
  <dcterms:modified xsi:type="dcterms:W3CDTF">2017-11-09T14:34:08Z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