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Pr="00C72F79" w:rsidRDefault="00E21E42" w:rsidP="00C72F79">
      <w:pPr>
        <w:pStyle w:val="a6"/>
        <w:spacing w:line="500" w:lineRule="exact"/>
        <w:rPr>
          <w:rFonts w:ascii="微软雅黑" w:eastAsia="微软雅黑" w:hAnsi="微软雅黑" w:hint="default"/>
          <w:color w:val="C00000"/>
          <w:sz w:val="40"/>
          <w:szCs w:val="40"/>
        </w:rPr>
      </w:pPr>
      <w:r w:rsidRPr="00C72F79">
        <w:rPr>
          <w:rFonts w:ascii="微软雅黑" w:eastAsia="微软雅黑" w:hAnsi="微软雅黑"/>
          <w:color w:val="C00000"/>
          <w:sz w:val="40"/>
          <w:szCs w:val="40"/>
        </w:rPr>
        <w:t>中华人民共和国最高人民法院</w:t>
      </w:r>
    </w:p>
    <w:p w:rsidR="00A640BA" w:rsidRPr="00C72F79" w:rsidRDefault="00E21E42" w:rsidP="00C72F79">
      <w:pPr>
        <w:pStyle w:val="a6"/>
        <w:spacing w:line="500" w:lineRule="exact"/>
        <w:rPr>
          <w:rFonts w:ascii="微软雅黑" w:eastAsia="微软雅黑" w:hAnsi="微软雅黑" w:hint="default"/>
          <w:color w:val="C00000"/>
          <w:sz w:val="40"/>
          <w:szCs w:val="40"/>
        </w:rPr>
      </w:pPr>
      <w:r w:rsidRPr="00C72F79">
        <w:rPr>
          <w:rFonts w:ascii="微软雅黑" w:eastAsia="微软雅黑" w:hAnsi="微软雅黑"/>
          <w:color w:val="C00000"/>
          <w:sz w:val="40"/>
          <w:szCs w:val="40"/>
        </w:rPr>
        <w:t>公</w:t>
      </w:r>
      <w:r w:rsidRPr="00C72F79">
        <w:rPr>
          <w:rFonts w:ascii="微软雅黑" w:eastAsia="微软雅黑" w:hAnsi="微软雅黑"/>
          <w:color w:val="C00000"/>
          <w:sz w:val="40"/>
          <w:szCs w:val="40"/>
        </w:rPr>
        <w:t xml:space="preserve">    </w:t>
      </w:r>
      <w:r w:rsidRPr="00C72F79">
        <w:rPr>
          <w:rFonts w:ascii="微软雅黑" w:eastAsia="微软雅黑" w:hAnsi="微软雅黑"/>
          <w:color w:val="C00000"/>
          <w:sz w:val="40"/>
          <w:szCs w:val="40"/>
        </w:rPr>
        <w:t>告</w:t>
      </w:r>
    </w:p>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Pr="00C72F79" w:rsidRDefault="00E21E42" w:rsidP="00C72F79">
      <w:pPr>
        <w:pStyle w:val="ab"/>
        <w:spacing w:line="2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最高人民法院《关于刑事裁判涉财产部分执行的若干规定》已于</w:t>
      </w:r>
      <w:r w:rsidRPr="00C72F79">
        <w:rPr>
          <w:rFonts w:ascii="微软雅黑" w:eastAsia="微软雅黑" w:hAnsi="微软雅黑" w:hint="eastAsia"/>
          <w:sz w:val="22"/>
          <w:szCs w:val="22"/>
        </w:rPr>
        <w:t>2014</w:t>
      </w:r>
      <w:r w:rsidRPr="00C72F79">
        <w:rPr>
          <w:rFonts w:ascii="微软雅黑" w:eastAsia="微软雅黑" w:hAnsi="微软雅黑" w:hint="eastAsia"/>
          <w:sz w:val="22"/>
          <w:szCs w:val="22"/>
        </w:rPr>
        <w:t>年</w:t>
      </w:r>
      <w:r w:rsidRPr="00C72F79">
        <w:rPr>
          <w:rFonts w:ascii="微软雅黑" w:eastAsia="微软雅黑" w:hAnsi="微软雅黑" w:hint="eastAsia"/>
          <w:sz w:val="22"/>
          <w:szCs w:val="22"/>
        </w:rPr>
        <w:t>9</w:t>
      </w:r>
      <w:r w:rsidRPr="00C72F79">
        <w:rPr>
          <w:rFonts w:ascii="微软雅黑" w:eastAsia="微软雅黑" w:hAnsi="微软雅黑" w:hint="eastAsia"/>
          <w:sz w:val="22"/>
          <w:szCs w:val="22"/>
        </w:rPr>
        <w:t>月</w:t>
      </w:r>
      <w:r w:rsidRPr="00C72F79">
        <w:rPr>
          <w:rFonts w:ascii="微软雅黑" w:eastAsia="微软雅黑" w:hAnsi="微软雅黑" w:hint="eastAsia"/>
          <w:sz w:val="22"/>
          <w:szCs w:val="22"/>
        </w:rPr>
        <w:t>1</w:t>
      </w:r>
      <w:r w:rsidRPr="00C72F79">
        <w:rPr>
          <w:rFonts w:ascii="微软雅黑" w:eastAsia="微软雅黑" w:hAnsi="微软雅黑" w:hint="eastAsia"/>
          <w:sz w:val="22"/>
          <w:szCs w:val="22"/>
        </w:rPr>
        <w:t>日由最高人民法院审判委员会第</w:t>
      </w:r>
      <w:r w:rsidRPr="00C72F79">
        <w:rPr>
          <w:rFonts w:ascii="微软雅黑" w:eastAsia="微软雅黑" w:hAnsi="微软雅黑" w:hint="eastAsia"/>
          <w:sz w:val="22"/>
          <w:szCs w:val="22"/>
        </w:rPr>
        <w:t>1625</w:t>
      </w:r>
      <w:r w:rsidRPr="00C72F79">
        <w:rPr>
          <w:rFonts w:ascii="微软雅黑" w:eastAsia="微软雅黑" w:hAnsi="微软雅黑" w:hint="eastAsia"/>
          <w:sz w:val="22"/>
          <w:szCs w:val="22"/>
        </w:rPr>
        <w:t>次会议通过，现予公布，自</w:t>
      </w:r>
      <w:r w:rsidRPr="00C72F79">
        <w:rPr>
          <w:rFonts w:ascii="微软雅黑" w:eastAsia="微软雅黑" w:hAnsi="微软雅黑" w:hint="eastAsia"/>
          <w:sz w:val="22"/>
          <w:szCs w:val="22"/>
        </w:rPr>
        <w:t>2014</w:t>
      </w:r>
      <w:r w:rsidRPr="00C72F79">
        <w:rPr>
          <w:rFonts w:ascii="微软雅黑" w:eastAsia="微软雅黑" w:hAnsi="微软雅黑" w:hint="eastAsia"/>
          <w:sz w:val="22"/>
          <w:szCs w:val="22"/>
        </w:rPr>
        <w:t>年</w:t>
      </w:r>
      <w:r w:rsidRPr="00C72F79">
        <w:rPr>
          <w:rFonts w:ascii="微软雅黑" w:eastAsia="微软雅黑" w:hAnsi="微软雅黑" w:hint="eastAsia"/>
          <w:sz w:val="22"/>
          <w:szCs w:val="22"/>
        </w:rPr>
        <w:t>11</w:t>
      </w:r>
      <w:r w:rsidRPr="00C72F79">
        <w:rPr>
          <w:rFonts w:ascii="微软雅黑" w:eastAsia="微软雅黑" w:hAnsi="微软雅黑" w:hint="eastAsia"/>
          <w:sz w:val="22"/>
          <w:szCs w:val="22"/>
        </w:rPr>
        <w:t>月</w:t>
      </w:r>
      <w:r w:rsidRPr="00C72F79">
        <w:rPr>
          <w:rFonts w:ascii="微软雅黑" w:eastAsia="微软雅黑" w:hAnsi="微软雅黑" w:hint="eastAsia"/>
          <w:sz w:val="22"/>
          <w:szCs w:val="22"/>
        </w:rPr>
        <w:t>6</w:t>
      </w:r>
      <w:r w:rsidRPr="00C72F79">
        <w:rPr>
          <w:rFonts w:ascii="微软雅黑" w:eastAsia="微软雅黑" w:hAnsi="微软雅黑" w:hint="eastAsia"/>
          <w:sz w:val="22"/>
          <w:szCs w:val="22"/>
        </w:rPr>
        <w:t>日起施行。</w:t>
      </w:r>
    </w:p>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Default="00E21E42" w:rsidP="00C72F79">
      <w:pPr>
        <w:pStyle w:val="a9"/>
        <w:spacing w:line="240" w:lineRule="exact"/>
        <w:rPr>
          <w:rFonts w:ascii="微软雅黑" w:eastAsia="微软雅黑" w:hAnsi="微软雅黑" w:hint="eastAsia"/>
          <w:sz w:val="22"/>
          <w:szCs w:val="22"/>
        </w:rPr>
      </w:pPr>
      <w:r w:rsidRPr="00C72F79">
        <w:rPr>
          <w:rFonts w:ascii="微软雅黑" w:eastAsia="微软雅黑" w:hAnsi="微软雅黑" w:hint="eastAsia"/>
          <w:sz w:val="22"/>
          <w:szCs w:val="22"/>
        </w:rPr>
        <w:t>2014</w:t>
      </w:r>
      <w:r w:rsidRPr="00C72F79">
        <w:rPr>
          <w:rFonts w:ascii="微软雅黑" w:eastAsia="微软雅黑" w:hAnsi="微软雅黑" w:hint="eastAsia"/>
          <w:sz w:val="22"/>
          <w:szCs w:val="22"/>
        </w:rPr>
        <w:t>年</w:t>
      </w:r>
      <w:r w:rsidRPr="00C72F79">
        <w:rPr>
          <w:rFonts w:ascii="微软雅黑" w:eastAsia="微软雅黑" w:hAnsi="微软雅黑" w:hint="eastAsia"/>
          <w:sz w:val="22"/>
          <w:szCs w:val="22"/>
        </w:rPr>
        <w:t>10</w:t>
      </w:r>
      <w:r w:rsidRPr="00C72F79">
        <w:rPr>
          <w:rFonts w:ascii="微软雅黑" w:eastAsia="微软雅黑" w:hAnsi="微软雅黑" w:hint="eastAsia"/>
          <w:sz w:val="22"/>
          <w:szCs w:val="22"/>
        </w:rPr>
        <w:t>月</w:t>
      </w:r>
      <w:r w:rsidRPr="00C72F79">
        <w:rPr>
          <w:rFonts w:ascii="微软雅黑" w:eastAsia="微软雅黑" w:hAnsi="微软雅黑" w:hint="eastAsia"/>
          <w:sz w:val="22"/>
          <w:szCs w:val="22"/>
        </w:rPr>
        <w:t>30</w:t>
      </w:r>
      <w:r w:rsidRPr="00C72F79">
        <w:rPr>
          <w:rFonts w:ascii="微软雅黑" w:eastAsia="微软雅黑" w:hAnsi="微软雅黑" w:hint="eastAsia"/>
          <w:sz w:val="22"/>
          <w:szCs w:val="22"/>
        </w:rPr>
        <w:t>日</w:t>
      </w:r>
      <w:bookmarkStart w:id="0" w:name="_GoBack"/>
      <w:bookmarkEnd w:id="0"/>
    </w:p>
    <w:p w:rsidR="00A640BA" w:rsidRPr="00C72F79" w:rsidRDefault="00A640BA" w:rsidP="00C72F79">
      <w:pPr>
        <w:pStyle w:val="ab"/>
        <w:spacing w:line="240" w:lineRule="exact"/>
        <w:ind w:firstLine="440"/>
        <w:rPr>
          <w:rFonts w:ascii="微软雅黑" w:eastAsia="微软雅黑" w:hAnsi="微软雅黑"/>
          <w:sz w:val="22"/>
          <w:szCs w:val="22"/>
        </w:rPr>
      </w:pPr>
    </w:p>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Pr="00C72F79" w:rsidRDefault="00E21E42" w:rsidP="00C72F79">
      <w:pPr>
        <w:pStyle w:val="a6"/>
        <w:spacing w:line="500" w:lineRule="exact"/>
        <w:rPr>
          <w:rFonts w:ascii="微软雅黑" w:eastAsia="微软雅黑" w:hAnsi="微软雅黑" w:hint="default"/>
          <w:b/>
          <w:color w:val="7030A0"/>
          <w:sz w:val="40"/>
          <w:szCs w:val="40"/>
        </w:rPr>
      </w:pPr>
      <w:r w:rsidRPr="00C72F79">
        <w:rPr>
          <w:rFonts w:ascii="微软雅黑" w:eastAsia="微软雅黑" w:hAnsi="微软雅黑"/>
          <w:b/>
          <w:color w:val="7030A0"/>
          <w:sz w:val="40"/>
          <w:szCs w:val="40"/>
        </w:rPr>
        <w:t>最高人民法院</w:t>
      </w:r>
      <w:r w:rsidRPr="00C72F79">
        <w:rPr>
          <w:rFonts w:ascii="微软雅黑" w:eastAsia="微软雅黑" w:hAnsi="微软雅黑"/>
          <w:b/>
          <w:color w:val="7030A0"/>
          <w:sz w:val="40"/>
          <w:szCs w:val="40"/>
        </w:rPr>
        <w:t>关于刑事裁判涉财产部分执行的若干规定</w:t>
      </w:r>
    </w:p>
    <w:p w:rsidR="00A640BA" w:rsidRPr="00C72F79" w:rsidRDefault="00A640BA" w:rsidP="00C72F79">
      <w:pPr>
        <w:pStyle w:val="ab"/>
        <w:spacing w:line="300" w:lineRule="exact"/>
        <w:ind w:firstLine="440"/>
        <w:rPr>
          <w:rFonts w:ascii="微软雅黑" w:eastAsia="微软雅黑" w:hAnsi="微软雅黑" w:cs="宋体"/>
          <w:sz w:val="22"/>
          <w:szCs w:val="22"/>
        </w:rPr>
      </w:pPr>
    </w:p>
    <w:p w:rsidR="00A640BA" w:rsidRPr="00C72F79" w:rsidRDefault="00E21E42" w:rsidP="00C72F79">
      <w:pPr>
        <w:pStyle w:val="af2"/>
        <w:spacing w:line="300" w:lineRule="exact"/>
        <w:rPr>
          <w:rFonts w:ascii="微软雅黑" w:eastAsia="微软雅黑" w:hAnsi="微软雅黑"/>
          <w:sz w:val="22"/>
          <w:szCs w:val="22"/>
        </w:rPr>
      </w:pPr>
      <w:r w:rsidRPr="00C72F79">
        <w:rPr>
          <w:rFonts w:ascii="微软雅黑" w:eastAsia="微软雅黑" w:hAnsi="微软雅黑" w:hint="eastAsia"/>
          <w:sz w:val="22"/>
          <w:szCs w:val="22"/>
        </w:rPr>
        <w:t>法释〔</w:t>
      </w:r>
      <w:r w:rsidRPr="00C72F79">
        <w:rPr>
          <w:rFonts w:ascii="微软雅黑" w:eastAsia="微软雅黑" w:hAnsi="微软雅黑" w:hint="eastAsia"/>
          <w:sz w:val="22"/>
          <w:szCs w:val="22"/>
        </w:rPr>
        <w:t>2014</w:t>
      </w:r>
      <w:r w:rsidRPr="00C72F79">
        <w:rPr>
          <w:rFonts w:ascii="微软雅黑" w:eastAsia="微软雅黑" w:hAnsi="微软雅黑" w:hint="eastAsia"/>
          <w:sz w:val="22"/>
          <w:szCs w:val="22"/>
        </w:rPr>
        <w:t>〕</w:t>
      </w:r>
      <w:r w:rsidRPr="00C72F79">
        <w:rPr>
          <w:rFonts w:ascii="微软雅黑" w:eastAsia="微软雅黑" w:hAnsi="微软雅黑" w:hint="eastAsia"/>
          <w:sz w:val="22"/>
          <w:szCs w:val="22"/>
        </w:rPr>
        <w:t>13</w:t>
      </w:r>
      <w:r w:rsidRPr="00C72F79">
        <w:rPr>
          <w:rFonts w:ascii="微软雅黑" w:eastAsia="微软雅黑" w:hAnsi="微软雅黑" w:hint="eastAsia"/>
          <w:sz w:val="22"/>
          <w:szCs w:val="22"/>
        </w:rPr>
        <w:t>号</w:t>
      </w:r>
    </w:p>
    <w:p w:rsidR="00A640BA" w:rsidRPr="00C72F79" w:rsidRDefault="00A640BA" w:rsidP="00C72F79">
      <w:pPr>
        <w:pStyle w:val="ab"/>
        <w:spacing w:line="300" w:lineRule="exact"/>
        <w:ind w:firstLine="440"/>
        <w:rPr>
          <w:rFonts w:ascii="微软雅黑" w:eastAsia="微软雅黑" w:hAnsi="微软雅黑" w:cs="宋体"/>
          <w:sz w:val="22"/>
          <w:szCs w:val="22"/>
        </w:rPr>
      </w:pP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为进一步规范刑事裁判涉财产部分的执行，维护当事人合法权益，根据《中华人民共和国刑法》、《中华人民共和国刑事诉讼法》等法律规定，结合人民法院执行工作实际，制定本规定。</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第一</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本规定所称刑事裁判涉财产部分的执行，是指发生法律效力的刑事裁判主文确定的下列事项的执行：</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（一）罚金、没收财产；</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（二）责令退赔；</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（三）处置随案移送的赃款赃物；</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（四）没收随案移送的供犯罪所用本人财物；</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（五）其他应当由人民法院执行的相关事项。</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刑事附带民事裁判的执行，适用民事执行的有关规定。</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Style w:val="af7"/>
          <w:rFonts w:ascii="微软雅黑" w:eastAsia="微软雅黑" w:hAnsi="微软雅黑" w:hint="eastAsia"/>
          <w:sz w:val="22"/>
          <w:szCs w:val="22"/>
        </w:rPr>
        <w:t>第二</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刑事裁判涉财产部分，由第一审人民法院执行。第一审人民法院可以委托财产所在地的同级人民法院执行。</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Style w:val="af7"/>
          <w:rFonts w:ascii="微软雅黑" w:eastAsia="微软雅黑" w:hAnsi="微软雅黑" w:hint="eastAsia"/>
          <w:sz w:val="22"/>
          <w:szCs w:val="22"/>
        </w:rPr>
        <w:t>第三</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人民法院办理刑事裁判涉财产部分执行案件的期限为六个月。有特殊情况需要延长的，经本院院长批准，可以延长。</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Style w:val="af7"/>
          <w:rFonts w:ascii="微软雅黑" w:eastAsia="微软雅黑" w:hAnsi="微软雅黑" w:hint="eastAsia"/>
          <w:sz w:val="22"/>
          <w:szCs w:val="22"/>
        </w:rPr>
        <w:t>第四</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人民法院刑事审判中可能判处被告人财产刑、责令退赔的，刑事审判部门应当依法对被告人的财产状况进行调查；发现可能隐匿、转移财产的，应当及时查封、扣押、冻结其相应财产。</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第五</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刑事审判或者执行中，对于侦查机关已经采取的查封、扣押、冻结，人民法院应当在期限届满前及时续行查封、扣押、冻结。人民法院续行查</w:t>
      </w:r>
      <w:r w:rsidRPr="00C72F79">
        <w:rPr>
          <w:rFonts w:ascii="微软雅黑" w:eastAsia="微软雅黑" w:hAnsi="微软雅黑" w:hint="eastAsia"/>
          <w:sz w:val="22"/>
          <w:szCs w:val="22"/>
        </w:rPr>
        <w:t>封、扣押、冻结的顺位与侦查机关查封、扣押、冻结的顺位相同。</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对侦查机关查封、扣押、冻结的财产，人民法院执行中可以直接裁定处置，无需侦查机关出具解除手续，但裁定中应当指明侦查机关查封、扣押、冻结的事实。</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第六</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刑事裁判涉财产部分的裁判内容，应当明确、具体。涉案财物或者被害人人数较多，不宜在判决主文中详细列明的，可以概括叙明并另附清单。</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判处没收部分财产的，应当明确没收的具体财物或者金额。</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判处追缴或者责令退赔的，应当明确追缴或者退赔的金额或财物的名称、数量等相关情况。</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第七</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由人民法院执行机构负责执行的刑事裁判涉财产部分，刑事审判部门应当及时移送立案部门审查立案。</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移送立案应当提交生效裁判文书及其附件和其他相关材料，并填写《移送执行表》。《移送执行表》应当载明以下内容：</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（一）被执行人、被害人的基本信息；</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（二）已查明的财产状况或者财产线索；</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（三）随案移送的财产和已经处置财产的情况；</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（四）查封、扣押、冻结财产的情况；</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（五）移送执行的时间；</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（六）其他需要说明的情况。</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人民法院立案部门经审查，认为属于移送范围且移送材料齐全的，应当在七日内立案，并移送执行机构。</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Style w:val="af7"/>
          <w:rFonts w:ascii="微软雅黑" w:eastAsia="微软雅黑" w:hAnsi="微软雅黑" w:hint="eastAsia"/>
          <w:sz w:val="22"/>
          <w:szCs w:val="22"/>
        </w:rPr>
        <w:lastRenderedPageBreak/>
        <w:t>第八</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人民</w:t>
      </w:r>
      <w:r w:rsidRPr="00C72F79">
        <w:rPr>
          <w:rFonts w:ascii="微软雅黑" w:eastAsia="微软雅黑" w:hAnsi="微软雅黑" w:hint="eastAsia"/>
          <w:sz w:val="22"/>
          <w:szCs w:val="22"/>
        </w:rPr>
        <w:t>法院可以向刑罚执行机关、社区矫正机构等有关单位调查被执行人的财产状况，并可以根据不同情形要求有关单位协助采取查封、扣押、冻结、划拨等执行措施。</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第九</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判处没收财产的，应当执行刑事裁判生效时被执行人合法所有的财产。</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执行没收财产或罚金刑，应当参照被扶养人住所地政府公布的上年度当地居民最低生活费标准，保留被执行人及其所扶养家属的生活必需费用。</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第十</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对赃款赃物及其收益，人民法院应当一并追缴。</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被执行人将赃款赃物投资或者置业，对因此形成的财产及其收益，人民法院应予追缴。</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被执行人将赃款赃物与其他合法财产共同投</w:t>
      </w:r>
      <w:r w:rsidRPr="00C72F79">
        <w:rPr>
          <w:rFonts w:ascii="微软雅黑" w:eastAsia="微软雅黑" w:hAnsi="微软雅黑" w:hint="eastAsia"/>
          <w:sz w:val="22"/>
          <w:szCs w:val="22"/>
        </w:rPr>
        <w:t>资或者置业，对因此形成的财产中与赃款赃物对应的份额及其收益，人民法院应予追缴。</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对于被害人的损失，应当按照刑事裁判认定的实际损失予以发还或者赔偿。</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第十一</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被执行人将刑事裁判认定为赃款赃物的涉案财物用于清偿债务、转让或者设置其他权利负担，具有下列情形之一的，人民法院应予追缴：</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（一）第三人明知是涉案财物而接受的；</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（二）第三人无偿或者以明显低于市场的价格取得涉案财物的；</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（三）第三人通过非法债务清偿或者违法犯罪活动取得涉案财物的；</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（四）第三人通过其他恶意方式取得涉案财物的。</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第三人善意取得涉案财物的，执行程序中不予追缴。作为原所有人的被害人对该涉案财物主张权利的，人民法院应当告知其通过诉讼程序处理。</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第十二</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被执行财产需要变价的，人民法院执行机构应当依法采取拍卖、变卖等变价措施。</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涉案财物最后一次拍卖未能成交，需要上缴国库的，人民法院应当通知有关财政机关以该次拍卖保留价予以接收；有关财政机关要求继续变价的，可以进行无保留价拍卖。需要退赔被害人的，以该次拍卖保留价以物退赔；被害人不同意以物退赔的，可以进行无保留价拍卖。</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第十三</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被执行人在执行中同时承担刑事责任、民事责任，其财</w:t>
      </w:r>
      <w:r w:rsidRPr="00C72F79">
        <w:rPr>
          <w:rFonts w:ascii="微软雅黑" w:eastAsia="微软雅黑" w:hAnsi="微软雅黑" w:hint="eastAsia"/>
          <w:sz w:val="22"/>
          <w:szCs w:val="22"/>
        </w:rPr>
        <w:t>产不足以支付的，按照下列顺序执行：</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（一）人身损害赔偿中的医疗费用；</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（二）退赔被害人的损失；</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（三）其他民事债务；</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（四）罚金；</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（五）没收财产。</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债权人对执行标的依法享有优先受偿权，其主张优先受偿的，人民法院应当在前款第（一）项规定的医疗费用受偿后，予以支持。</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第十四</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执行过程中，当事人、利害关系人认为执行行为违反法律规定，或者案外人对执行标的主张足以阻止执行的实体权利，向执行法院提出书面异议的，执行法院应当依照民事诉讼法第二百二十五条的规定处理。</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人民法院审查案外人异议、复议，应当公开听证。</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Style w:val="af7"/>
          <w:rFonts w:ascii="微软雅黑" w:eastAsia="微软雅黑" w:hAnsi="微软雅黑" w:hint="eastAsia"/>
          <w:sz w:val="22"/>
          <w:szCs w:val="22"/>
        </w:rPr>
        <w:t>第十五</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执行过程中，案外人或被害人认为刑事裁判中对涉案财物是否属于赃款赃物认定错误或者应予认定而未认定，向执行法院提出书面异议，可以通过裁定补正的，执行机构应当将异议材料移送刑事审判部门处理；无法通过裁定补正的，应当告知异议人通过审判监督程序处理。</w:t>
      </w:r>
    </w:p>
    <w:p w:rsidR="00A640BA" w:rsidRPr="00C72F79" w:rsidRDefault="00E21E42" w:rsidP="00C72F79">
      <w:pPr>
        <w:pStyle w:val="ab"/>
        <w:spacing w:line="300" w:lineRule="exact"/>
        <w:ind w:firstLine="440"/>
        <w:rPr>
          <w:rStyle w:val="af7"/>
          <w:rFonts w:ascii="微软雅黑" w:eastAsia="微软雅黑" w:hAnsi="微软雅黑"/>
          <w:sz w:val="22"/>
          <w:szCs w:val="22"/>
        </w:rPr>
      </w:pPr>
      <w:r w:rsidRPr="00C72F79">
        <w:rPr>
          <w:rStyle w:val="af7"/>
          <w:rFonts w:ascii="微软雅黑" w:eastAsia="微软雅黑" w:hAnsi="微软雅黑" w:hint="eastAsia"/>
          <w:sz w:val="22"/>
          <w:szCs w:val="22"/>
        </w:rPr>
        <w:t>第十六</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人民法院办理刑事裁判涉财产部分执行案件，刑法、刑事诉讼法及有关司法解释没有相应规定的，参照适用民事执行的有关规定。</w:t>
      </w:r>
    </w:p>
    <w:p w:rsidR="00A640BA" w:rsidRPr="00C72F79" w:rsidRDefault="00E21E42" w:rsidP="00C72F79">
      <w:pPr>
        <w:pStyle w:val="ab"/>
        <w:spacing w:line="300" w:lineRule="exact"/>
        <w:ind w:firstLine="440"/>
        <w:rPr>
          <w:rFonts w:ascii="微软雅黑" w:eastAsia="微软雅黑" w:hAnsi="微软雅黑"/>
          <w:sz w:val="22"/>
          <w:szCs w:val="22"/>
        </w:rPr>
      </w:pPr>
      <w:r w:rsidRPr="00C72F79">
        <w:rPr>
          <w:rStyle w:val="af7"/>
          <w:rFonts w:ascii="微软雅黑" w:eastAsia="微软雅黑" w:hAnsi="微软雅黑" w:hint="eastAsia"/>
          <w:sz w:val="22"/>
          <w:szCs w:val="22"/>
        </w:rPr>
        <w:t>第十七</w:t>
      </w:r>
      <w:r w:rsidRPr="00C72F79">
        <w:rPr>
          <w:rStyle w:val="af7"/>
          <w:rFonts w:ascii="微软雅黑" w:eastAsia="微软雅黑" w:hAnsi="微软雅黑" w:hint="eastAsia"/>
          <w:sz w:val="22"/>
          <w:szCs w:val="22"/>
        </w:rPr>
        <w:t>条</w:t>
      </w:r>
      <w:r w:rsidRPr="00C72F79">
        <w:rPr>
          <w:rFonts w:ascii="微软雅黑" w:eastAsia="微软雅黑" w:hAnsi="微软雅黑" w:hint="eastAsia"/>
          <w:sz w:val="22"/>
          <w:szCs w:val="22"/>
        </w:rPr>
        <w:t xml:space="preserve">　</w:t>
      </w:r>
      <w:r w:rsidRPr="00C72F79">
        <w:rPr>
          <w:rFonts w:ascii="微软雅黑" w:eastAsia="微软雅黑" w:hAnsi="微软雅黑" w:hint="eastAsia"/>
          <w:sz w:val="22"/>
          <w:szCs w:val="22"/>
        </w:rPr>
        <w:t>最高人民法院此前发布的司法解释与本规定不一致的，以本规定为准。</w:t>
      </w:r>
    </w:p>
    <w:sectPr w:rsidR="00A640BA" w:rsidRPr="00C72F79" w:rsidSect="00C72F79">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E42" w:rsidRDefault="00E21E42" w:rsidP="00A640BA">
      <w:r>
        <w:separator/>
      </w:r>
    </w:p>
  </w:endnote>
  <w:endnote w:type="continuationSeparator" w:id="0">
    <w:p w:rsidR="00E21E42" w:rsidRDefault="00E21E42" w:rsidP="00A64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BA" w:rsidRDefault="00A640BA">
    <w:pPr>
      <w:tabs>
        <w:tab w:val="center" w:pos="4153"/>
        <w:tab w:val="right" w:pos="8306"/>
      </w:tabs>
      <w:rPr>
        <w:rFonts w:ascii="宋体" w:hAnsi="宋体" w:cs="宋体"/>
        <w:sz w:val="28"/>
        <w:szCs w:val="28"/>
      </w:rPr>
    </w:pPr>
    <w:r w:rsidRPr="00A640BA">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640BA" w:rsidRDefault="00E21E42">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640B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640BA">
                  <w:rPr>
                    <w:rFonts w:ascii="宋体" w:hAnsi="宋体" w:cs="宋体" w:hint="eastAsia"/>
                    <w:sz w:val="28"/>
                    <w:szCs w:val="28"/>
                  </w:rPr>
                  <w:fldChar w:fldCharType="separate"/>
                </w:r>
                <w:r w:rsidR="00C72F79">
                  <w:rPr>
                    <w:rFonts w:ascii="宋体" w:hAnsi="宋体" w:cs="宋体"/>
                    <w:noProof/>
                    <w:sz w:val="28"/>
                    <w:szCs w:val="28"/>
                  </w:rPr>
                  <w:t>2</w:t>
                </w:r>
                <w:r w:rsidR="00A640B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BA" w:rsidRDefault="00A640BA">
    <w:pPr>
      <w:tabs>
        <w:tab w:val="center" w:pos="4153"/>
        <w:tab w:val="right" w:pos="8306"/>
      </w:tabs>
      <w:rPr>
        <w:rFonts w:ascii="宋体" w:hAnsi="宋体" w:cs="宋体"/>
        <w:sz w:val="28"/>
        <w:szCs w:val="28"/>
      </w:rPr>
    </w:pPr>
    <w:r w:rsidRPr="00A640BA">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640BA" w:rsidRDefault="00E21E42">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640B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640BA">
                  <w:rPr>
                    <w:rFonts w:ascii="宋体" w:hAnsi="宋体" w:cs="宋体" w:hint="eastAsia"/>
                    <w:sz w:val="28"/>
                    <w:szCs w:val="28"/>
                  </w:rPr>
                  <w:fldChar w:fldCharType="separate"/>
                </w:r>
                <w:r w:rsidR="00C72F79">
                  <w:rPr>
                    <w:rFonts w:ascii="宋体" w:hAnsi="宋体" w:cs="宋体"/>
                    <w:noProof/>
                    <w:sz w:val="28"/>
                    <w:szCs w:val="28"/>
                  </w:rPr>
                  <w:t>2</w:t>
                </w:r>
                <w:r w:rsidR="00A640B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E42" w:rsidRDefault="00E21E42" w:rsidP="00A640BA">
      <w:r>
        <w:separator/>
      </w:r>
    </w:p>
  </w:footnote>
  <w:footnote w:type="continuationSeparator" w:id="0">
    <w:p w:rsidR="00E21E42" w:rsidRDefault="00E21E42" w:rsidP="00A64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276F1F"/>
    <w:rsid w:val="00323D76"/>
    <w:rsid w:val="00A640BA"/>
    <w:rsid w:val="00C72F79"/>
    <w:rsid w:val="00E21E42"/>
    <w:rsid w:val="02380A4E"/>
    <w:rsid w:val="02C54CFB"/>
    <w:rsid w:val="042F174E"/>
    <w:rsid w:val="0751543E"/>
    <w:rsid w:val="0BE369DE"/>
    <w:rsid w:val="0F9D48A9"/>
    <w:rsid w:val="0FC66F39"/>
    <w:rsid w:val="135B4974"/>
    <w:rsid w:val="1490627A"/>
    <w:rsid w:val="19EF53F7"/>
    <w:rsid w:val="1C547AC8"/>
    <w:rsid w:val="20194FCD"/>
    <w:rsid w:val="211007F7"/>
    <w:rsid w:val="224D5C1E"/>
    <w:rsid w:val="26276F1F"/>
    <w:rsid w:val="28B53323"/>
    <w:rsid w:val="2A483D38"/>
    <w:rsid w:val="2A844039"/>
    <w:rsid w:val="2CFE6EE4"/>
    <w:rsid w:val="2D725F92"/>
    <w:rsid w:val="302E782D"/>
    <w:rsid w:val="325C564C"/>
    <w:rsid w:val="36AE6775"/>
    <w:rsid w:val="38787F7C"/>
    <w:rsid w:val="39191BFA"/>
    <w:rsid w:val="3D717517"/>
    <w:rsid w:val="3FBC61B7"/>
    <w:rsid w:val="482D2A63"/>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0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40BA"/>
    <w:pPr>
      <w:tabs>
        <w:tab w:val="center" w:pos="4153"/>
        <w:tab w:val="right" w:pos="8306"/>
      </w:tabs>
      <w:snapToGrid w:val="0"/>
      <w:jc w:val="left"/>
    </w:pPr>
    <w:rPr>
      <w:sz w:val="18"/>
    </w:rPr>
  </w:style>
  <w:style w:type="paragraph" w:styleId="a4">
    <w:name w:val="header"/>
    <w:basedOn w:val="a"/>
    <w:qFormat/>
    <w:rsid w:val="00A640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640BA"/>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640BA"/>
    <w:pPr>
      <w:spacing w:line="560" w:lineRule="exact"/>
      <w:jc w:val="center"/>
    </w:pPr>
    <w:rPr>
      <w:rFonts w:ascii="宋体" w:hAnsi="宋体" w:cs="宋体" w:hint="eastAsia"/>
      <w:sz w:val="44"/>
      <w:szCs w:val="44"/>
    </w:rPr>
  </w:style>
  <w:style w:type="paragraph" w:customStyle="1" w:styleId="a7">
    <w:name w:val="表字居中"/>
    <w:basedOn w:val="a"/>
    <w:rsid w:val="00A640BA"/>
    <w:pPr>
      <w:spacing w:line="560" w:lineRule="exact"/>
      <w:jc w:val="center"/>
    </w:pPr>
    <w:rPr>
      <w:rFonts w:ascii="宋体" w:hAnsi="宋体" w:cs="宋体"/>
      <w:szCs w:val="21"/>
    </w:rPr>
  </w:style>
  <w:style w:type="paragraph" w:customStyle="1" w:styleId="a8">
    <w:name w:val="一、"/>
    <w:basedOn w:val="a"/>
    <w:rsid w:val="00A640BA"/>
    <w:pPr>
      <w:spacing w:line="560" w:lineRule="exact"/>
      <w:ind w:firstLineChars="200" w:firstLine="420"/>
    </w:pPr>
    <w:rPr>
      <w:rFonts w:ascii="黑体" w:eastAsia="黑体" w:hAnsi="黑体" w:cs="黑体"/>
      <w:sz w:val="32"/>
      <w:szCs w:val="32"/>
    </w:rPr>
  </w:style>
  <w:style w:type="paragraph" w:customStyle="1" w:styleId="a9">
    <w:name w:val="落款"/>
    <w:basedOn w:val="a"/>
    <w:rsid w:val="00A640BA"/>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rsid w:val="00A640BA"/>
    <w:pPr>
      <w:spacing w:line="560" w:lineRule="exact"/>
      <w:jc w:val="left"/>
    </w:pPr>
    <w:rPr>
      <w:rFonts w:ascii="黑体" w:eastAsia="黑体" w:hAnsi="黑体" w:cs="黑体"/>
      <w:sz w:val="32"/>
      <w:szCs w:val="32"/>
    </w:rPr>
  </w:style>
  <w:style w:type="paragraph" w:customStyle="1" w:styleId="ab">
    <w:name w:val="正文字体"/>
    <w:basedOn w:val="a"/>
    <w:rsid w:val="00A640BA"/>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A640BA"/>
    <w:pPr>
      <w:spacing w:line="560" w:lineRule="exact"/>
      <w:jc w:val="center"/>
    </w:pPr>
    <w:rPr>
      <w:rFonts w:ascii="黑体" w:eastAsia="黑体" w:hAnsi="黑体" w:cs="黑体"/>
      <w:sz w:val="32"/>
      <w:szCs w:val="32"/>
    </w:rPr>
  </w:style>
  <w:style w:type="paragraph" w:customStyle="1" w:styleId="ad">
    <w:name w:val="（一）"/>
    <w:basedOn w:val="a"/>
    <w:rsid w:val="00A640BA"/>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640BA"/>
    <w:pPr>
      <w:spacing w:line="560" w:lineRule="exact"/>
      <w:jc w:val="left"/>
    </w:pPr>
    <w:rPr>
      <w:rFonts w:ascii="宋体" w:hAnsi="宋体" w:cs="宋体"/>
      <w:szCs w:val="21"/>
    </w:rPr>
  </w:style>
  <w:style w:type="paragraph" w:customStyle="1" w:styleId="af">
    <w:name w:val="修改废止公布内容"/>
    <w:basedOn w:val="a"/>
    <w:rsid w:val="00A640BA"/>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640BA"/>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640BA"/>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640BA"/>
    <w:pPr>
      <w:spacing w:line="560" w:lineRule="exact"/>
      <w:jc w:val="center"/>
    </w:pPr>
    <w:rPr>
      <w:rFonts w:ascii="楷体_GB2312" w:eastAsia="楷体_GB2312" w:hAnsi="楷体_GB2312" w:cs="楷体_GB2312"/>
      <w:sz w:val="32"/>
      <w:szCs w:val="32"/>
    </w:rPr>
  </w:style>
  <w:style w:type="paragraph" w:customStyle="1" w:styleId="af3">
    <w:name w:val="节"/>
    <w:basedOn w:val="a"/>
    <w:rsid w:val="00A640BA"/>
    <w:pPr>
      <w:spacing w:line="560" w:lineRule="exact"/>
      <w:jc w:val="center"/>
    </w:pPr>
    <w:rPr>
      <w:rFonts w:ascii="宋体" w:hAnsi="宋体" w:cs="宋体"/>
      <w:sz w:val="32"/>
      <w:szCs w:val="32"/>
    </w:rPr>
  </w:style>
  <w:style w:type="paragraph" w:customStyle="1" w:styleId="af4">
    <w:name w:val="抬头"/>
    <w:basedOn w:val="ab"/>
    <w:rsid w:val="00A640BA"/>
    <w:pPr>
      <w:ind w:firstLineChars="0" w:firstLine="0"/>
      <w:jc w:val="left"/>
    </w:pPr>
  </w:style>
  <w:style w:type="paragraph" w:customStyle="1" w:styleId="af5">
    <w:name w:val="日期文号"/>
    <w:basedOn w:val="ab"/>
    <w:qFormat/>
    <w:rsid w:val="00A640BA"/>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640BA"/>
    <w:pPr>
      <w:spacing w:line="560" w:lineRule="exact"/>
      <w:jc w:val="left"/>
    </w:pPr>
    <w:rPr>
      <w:rFonts w:ascii="仿宋_GB2312" w:eastAsia="仿宋_GB2312" w:hAnsi="仿宋_GB2312" w:cs="仿宋_GB2312"/>
      <w:sz w:val="32"/>
      <w:szCs w:val="32"/>
    </w:rPr>
  </w:style>
  <w:style w:type="paragraph" w:customStyle="1" w:styleId="af6">
    <w:name w:val="表头"/>
    <w:basedOn w:val="a"/>
    <w:rsid w:val="00A640BA"/>
    <w:pPr>
      <w:spacing w:line="560" w:lineRule="exact"/>
      <w:jc w:val="center"/>
    </w:pPr>
    <w:rPr>
      <w:rFonts w:ascii="黑体" w:eastAsia="黑体" w:hAnsi="黑体" w:cs="黑体"/>
      <w:szCs w:val="21"/>
    </w:rPr>
  </w:style>
  <w:style w:type="character" w:customStyle="1" w:styleId="af7">
    <w:name w:val="条文"/>
    <w:basedOn w:val="a0"/>
    <w:qFormat/>
    <w:rsid w:val="00A640BA"/>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TotalTime>
  <Pages>2</Pages>
  <Words>355</Words>
  <Characters>2030</Characters>
  <Application>Microsoft Office Word</Application>
  <DocSecurity>0</DocSecurity>
  <Lines>16</Lines>
  <Paragraphs>4</Paragraphs>
  <ScaleCrop>false</ScaleCrop>
  <Company>Newdaxie</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2017-11-02T12:36:00Z</dcterms:created>
  <dcterms:modified xsi:type="dcterms:W3CDTF">2023-10-28T05:46:00Z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