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ED0280" w:rsidRDefault="009A719B" w:rsidP="00ED0280">
      <w:pPr>
        <w:spacing w:line="240" w:lineRule="exact"/>
        <w:rPr>
          <w:rFonts w:ascii="微软雅黑" w:eastAsia="微软雅黑" w:hAnsi="微软雅黑"/>
          <w:sz w:val="22"/>
          <w:szCs w:val="22"/>
        </w:rPr>
      </w:pPr>
    </w:p>
    <w:p w:rsidR="00670366" w:rsidRPr="00ED0280" w:rsidRDefault="00ED0280" w:rsidP="00ED0280">
      <w:pPr>
        <w:autoSpaceDE w:val="0"/>
        <w:autoSpaceDN w:val="0"/>
        <w:adjustRightInd w:val="0"/>
        <w:spacing w:line="500" w:lineRule="exact"/>
        <w:ind w:leftChars="200" w:left="628" w:rightChars="200" w:right="628"/>
        <w:jc w:val="center"/>
        <w:rPr>
          <w:rFonts w:ascii="微软雅黑" w:eastAsia="微软雅黑" w:hAnsi="微软雅黑"/>
          <w:b/>
          <w:color w:val="984806" w:themeColor="accent6" w:themeShade="80"/>
          <w:sz w:val="28"/>
          <w:szCs w:val="28"/>
        </w:rPr>
      </w:pPr>
      <w:r>
        <w:rPr>
          <w:rFonts w:ascii="微软雅黑" w:eastAsia="微软雅黑" w:hAnsi="微软雅黑" w:hint="eastAsia"/>
          <w:b/>
          <w:color w:val="984806" w:themeColor="accent6" w:themeShade="80"/>
          <w:sz w:val="28"/>
          <w:szCs w:val="28"/>
        </w:rPr>
        <w:t>【</w:t>
      </w:r>
      <w:r w:rsidR="00C974B7" w:rsidRPr="00ED0280">
        <w:rPr>
          <w:rFonts w:ascii="微软雅黑" w:eastAsia="微软雅黑" w:hAnsi="微软雅黑" w:hint="eastAsia"/>
          <w:b/>
          <w:color w:val="984806" w:themeColor="accent6" w:themeShade="80"/>
          <w:sz w:val="28"/>
          <w:szCs w:val="28"/>
        </w:rPr>
        <w:t>浙江省人民代表大会常务委员会关于资源税具体适用税率等事项的决定</w:t>
      </w:r>
      <w:r>
        <w:rPr>
          <w:rFonts w:ascii="微软雅黑" w:eastAsia="微软雅黑" w:hAnsi="微软雅黑" w:hint="eastAsia"/>
          <w:b/>
          <w:color w:val="984806" w:themeColor="accent6" w:themeShade="80"/>
          <w:sz w:val="28"/>
          <w:szCs w:val="28"/>
        </w:rPr>
        <w:t>】</w:t>
      </w:r>
    </w:p>
    <w:p w:rsidR="00C974B7" w:rsidRPr="00ED0280" w:rsidRDefault="00C974B7" w:rsidP="00ED0280">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2"/>
          <w:szCs w:val="22"/>
          <w:lang w:val="zh-CN"/>
        </w:rPr>
      </w:pPr>
    </w:p>
    <w:p w:rsidR="009A719B" w:rsidRPr="00ED0280" w:rsidRDefault="006F1B2E" w:rsidP="00ED0280">
      <w:pPr>
        <w:autoSpaceDE w:val="0"/>
        <w:autoSpaceDN w:val="0"/>
        <w:adjustRightInd w:val="0"/>
        <w:spacing w:line="240" w:lineRule="exact"/>
        <w:ind w:leftChars="200" w:left="628" w:rightChars="200" w:right="628"/>
        <w:jc w:val="center"/>
        <w:rPr>
          <w:rFonts w:ascii="微软雅黑" w:eastAsia="微软雅黑" w:hAnsi="微软雅黑" w:cs="仿宋_GB2312"/>
          <w:color w:val="000000"/>
          <w:kern w:val="0"/>
          <w:sz w:val="22"/>
          <w:szCs w:val="22"/>
          <w:lang w:val="zh-CN"/>
        </w:rPr>
      </w:pPr>
      <w:r w:rsidRPr="00ED0280">
        <w:rPr>
          <w:rFonts w:ascii="微软雅黑" w:eastAsia="微软雅黑" w:hAnsi="微软雅黑" w:cs="仿宋_GB2312" w:hint="eastAsia"/>
          <w:color w:val="000000"/>
          <w:kern w:val="0"/>
          <w:sz w:val="22"/>
          <w:szCs w:val="22"/>
          <w:lang w:val="zh-CN"/>
        </w:rPr>
        <w:t>（</w:t>
      </w:r>
      <w:r w:rsidR="00C974B7" w:rsidRPr="00ED0280">
        <w:rPr>
          <w:rFonts w:ascii="微软雅黑" w:eastAsia="微软雅黑" w:hAnsi="微软雅黑" w:cs="仿宋_GB2312" w:hint="eastAsia"/>
          <w:color w:val="000000"/>
          <w:kern w:val="0"/>
          <w:sz w:val="22"/>
          <w:szCs w:val="22"/>
          <w:lang w:val="zh-CN"/>
        </w:rPr>
        <w:t>2020年7月31日浙江省第十三届人民代表大会常务委员会第二十二次会议通过</w:t>
      </w:r>
      <w:r w:rsidRPr="00ED0280">
        <w:rPr>
          <w:rFonts w:ascii="微软雅黑" w:eastAsia="微软雅黑" w:hAnsi="微软雅黑" w:cs="仿宋_GB2312" w:hint="eastAsia"/>
          <w:color w:val="000000"/>
          <w:kern w:val="0"/>
          <w:sz w:val="22"/>
          <w:szCs w:val="22"/>
          <w:lang w:val="zh-CN"/>
        </w:rPr>
        <w:t>）</w:t>
      </w:r>
    </w:p>
    <w:p w:rsidR="00C974B7" w:rsidRPr="00ED0280" w:rsidRDefault="00C974B7" w:rsidP="00ED0280">
      <w:pPr>
        <w:spacing w:line="240" w:lineRule="exact"/>
        <w:ind w:firstLineChars="200" w:firstLine="428"/>
        <w:rPr>
          <w:rFonts w:ascii="微软雅黑" w:eastAsia="微软雅黑" w:hAnsi="微软雅黑"/>
          <w:sz w:val="22"/>
          <w:szCs w:val="22"/>
        </w:rPr>
      </w:pP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为了加强资源管理，促进资源节约集约利用和生态环境保护，根据《中华人民共和国资源税法》规定，结合本省实际，对本省资源税具体适用税率、计征方式和免征或者减征办法作如下决定：</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一、资源税的具体适用税率、计征方式依照《中华人民共和国资源税法》和本决定附件《浙江省资源税税目税率表》执行。</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二、符合《中华人民共和国资源税法》第七条规定情形的，按照以下规定减征或者免征资源税：</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（一）开采或者生产应税产品过程中，因意外事故或者自然灾害等原因遭受重大损失的，自遭受损失的当月起一年内减半征收资源税；</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（二）开采销售共生矿（铅锌共生矿除外），共生矿与主矿产品销售额分开核算的，对共生矿减半征收资源税；</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（三）开采销售伴生矿，伴生矿与主矿产品销售额分开核算的，对伴生矿免征资源税；</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（四）开采尾矿的，免征资源税。</w:t>
      </w:r>
    </w:p>
    <w:p w:rsidR="00C974B7"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开采低品位矿的，不予免征或者减征资源税。</w:t>
      </w:r>
    </w:p>
    <w:p w:rsidR="001316DB" w:rsidRPr="00ED0280" w:rsidRDefault="00C974B7" w:rsidP="00ED0280">
      <w:pPr>
        <w:spacing w:line="240" w:lineRule="exact"/>
        <w:ind w:firstLineChars="200" w:firstLine="428"/>
        <w:rPr>
          <w:rFonts w:ascii="微软雅黑" w:eastAsia="微软雅黑" w:hAnsi="微软雅黑"/>
          <w:sz w:val="22"/>
          <w:szCs w:val="22"/>
        </w:rPr>
      </w:pPr>
      <w:r w:rsidRPr="00ED0280">
        <w:rPr>
          <w:rFonts w:ascii="微软雅黑" w:eastAsia="微软雅黑" w:hAnsi="微软雅黑" w:hint="eastAsia"/>
          <w:sz w:val="22"/>
          <w:szCs w:val="22"/>
        </w:rPr>
        <w:t>三、本决定自2020年9月1日起施行。</w:t>
      </w:r>
    </w:p>
    <w:p w:rsidR="001316DB" w:rsidRPr="00ED0280" w:rsidRDefault="001316DB" w:rsidP="00ED0280">
      <w:pPr>
        <w:spacing w:line="240" w:lineRule="exact"/>
        <w:ind w:firstLineChars="200" w:firstLine="428"/>
        <w:rPr>
          <w:rFonts w:ascii="微软雅黑" w:eastAsia="微软雅黑" w:hAnsi="微软雅黑"/>
          <w:sz w:val="22"/>
          <w:szCs w:val="22"/>
        </w:rPr>
      </w:pPr>
    </w:p>
    <w:p w:rsidR="001316DB" w:rsidRPr="00ED0280" w:rsidRDefault="001316DB" w:rsidP="00ED0280">
      <w:pPr>
        <w:spacing w:line="240" w:lineRule="exact"/>
        <w:rPr>
          <w:rFonts w:ascii="微软雅黑" w:eastAsia="微软雅黑" w:hAnsi="微软雅黑" w:cs="黑体"/>
          <w:color w:val="000000"/>
          <w:sz w:val="22"/>
          <w:szCs w:val="22"/>
        </w:rPr>
      </w:pPr>
      <w:r w:rsidRPr="00ED0280">
        <w:rPr>
          <w:rFonts w:ascii="微软雅黑" w:eastAsia="微软雅黑" w:hAnsi="微软雅黑" w:cs="黑体" w:hint="eastAsia"/>
          <w:color w:val="000000"/>
          <w:sz w:val="22"/>
          <w:szCs w:val="22"/>
        </w:rPr>
        <w:t>附件：</w:t>
      </w:r>
    </w:p>
    <w:p w:rsidR="001316DB" w:rsidRPr="00ED0280" w:rsidRDefault="001316DB" w:rsidP="00ED0280">
      <w:pPr>
        <w:spacing w:line="240" w:lineRule="exact"/>
        <w:jc w:val="center"/>
        <w:rPr>
          <w:rFonts w:ascii="微软雅黑" w:eastAsia="微软雅黑" w:hAnsi="微软雅黑" w:cs="方正小标宋简体"/>
          <w:color w:val="000000"/>
          <w:sz w:val="22"/>
          <w:szCs w:val="22"/>
        </w:rPr>
      </w:pPr>
      <w:r w:rsidRPr="00ED0280">
        <w:rPr>
          <w:rFonts w:ascii="微软雅黑" w:eastAsia="微软雅黑" w:hAnsi="微软雅黑" w:cs="方正小标宋简体" w:hint="eastAsia"/>
          <w:color w:val="000000"/>
          <w:sz w:val="22"/>
          <w:szCs w:val="22"/>
        </w:rPr>
        <w:t>浙</w:t>
      </w:r>
      <w:bookmarkStart w:id="0" w:name="_GoBack"/>
      <w:bookmarkEnd w:id="0"/>
      <w:r w:rsidRPr="00ED0280">
        <w:rPr>
          <w:rFonts w:ascii="微软雅黑" w:eastAsia="微软雅黑" w:hAnsi="微软雅黑" w:cs="方正小标宋简体" w:hint="eastAsia"/>
          <w:color w:val="000000"/>
          <w:sz w:val="22"/>
          <w:szCs w:val="22"/>
        </w:rPr>
        <w:t>江省资源税税目税率表</w:t>
      </w:r>
    </w:p>
    <w:tbl>
      <w:tblPr>
        <w:tblW w:w="8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680"/>
        <w:gridCol w:w="647"/>
        <w:gridCol w:w="683"/>
        <w:gridCol w:w="2989"/>
        <w:gridCol w:w="1559"/>
        <w:gridCol w:w="585"/>
        <w:gridCol w:w="45"/>
        <w:gridCol w:w="1476"/>
      </w:tblGrid>
      <w:tr w:rsidR="001316DB" w:rsidRPr="00ED0280" w:rsidTr="00C81B7B">
        <w:trPr>
          <w:trHeight w:val="257"/>
          <w:tblHeader/>
          <w:jc w:val="center"/>
        </w:trPr>
        <w:tc>
          <w:tcPr>
            <w:tcW w:w="680"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序号</w:t>
            </w:r>
          </w:p>
        </w:tc>
        <w:tc>
          <w:tcPr>
            <w:tcW w:w="4319"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税目</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征税对象</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税率</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w:t>
            </w:r>
          </w:p>
        </w:tc>
        <w:tc>
          <w:tcPr>
            <w:tcW w:w="1330" w:type="dxa"/>
            <w:gridSpan w:val="2"/>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能</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源</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矿</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产</w:t>
            </w: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煤</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330" w:type="dxa"/>
            <w:gridSpan w:val="2"/>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w:t>
            </w:r>
          </w:p>
        </w:tc>
        <w:tc>
          <w:tcPr>
            <w:tcW w:w="1330" w:type="dxa"/>
            <w:gridSpan w:val="2"/>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石煤</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330" w:type="dxa"/>
            <w:gridSpan w:val="2"/>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w:t>
            </w:r>
          </w:p>
        </w:tc>
        <w:tc>
          <w:tcPr>
            <w:tcW w:w="1330" w:type="dxa"/>
            <w:gridSpan w:val="2"/>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地热</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每立方米3元</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w:t>
            </w:r>
          </w:p>
        </w:tc>
        <w:tc>
          <w:tcPr>
            <w:tcW w:w="647"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金    属    矿</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产</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683"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黑</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色</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金</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属</w:t>
            </w: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铁</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钒</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钛</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有</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色</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金</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属</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金</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铜</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铅</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锌</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锡</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锑</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银</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sz w:val="22"/>
                <w:szCs w:val="22"/>
              </w:rPr>
              <w:t>14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镍</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钴</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铋</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汞</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铌</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铍</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lastRenderedPageBreak/>
              <w:t>20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铷</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镓</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镉</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硒</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25</w:t>
            </w:r>
          </w:p>
        </w:tc>
        <w:tc>
          <w:tcPr>
            <w:tcW w:w="647"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非    金    属    矿</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产</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683"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矿</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物</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类</w:t>
            </w: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高岭土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309"/>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萤石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磷</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1017"/>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石灰岩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630" w:type="dxa"/>
            <w:gridSpan w:val="2"/>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w:t>
            </w:r>
          </w:p>
        </w:tc>
        <w:tc>
          <w:tcPr>
            <w:tcW w:w="1476" w:type="dxa"/>
            <w:vMerge w:val="restart"/>
            <w:tcBorders>
              <w:tl2br w:val="nil"/>
              <w:tr2bl w:val="nil"/>
            </w:tcBorders>
            <w:shd w:val="clear" w:color="auto" w:fill="FFFFFF"/>
            <w:vAlign w:val="center"/>
          </w:tcPr>
          <w:p w:rsidR="001316DB" w:rsidRPr="00ED0280" w:rsidRDefault="001316DB" w:rsidP="00ED0280">
            <w:pPr>
              <w:widowControl/>
              <w:spacing w:line="220" w:lineRule="exact"/>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自用或者连续加工成非应税产品的从量计征，按每吨2元征收。</w:t>
            </w:r>
          </w:p>
          <w:p w:rsidR="001316DB" w:rsidRPr="00ED0280" w:rsidRDefault="001316DB" w:rsidP="00ED0280">
            <w:pPr>
              <w:widowControl/>
              <w:spacing w:line="220" w:lineRule="exact"/>
              <w:textAlignment w:val="center"/>
              <w:rPr>
                <w:rFonts w:ascii="微软雅黑" w:eastAsia="微软雅黑" w:hAnsi="微软雅黑" w:cs="仿宋_GB2312"/>
                <w:bCs/>
                <w:color w:val="000000"/>
                <w:kern w:val="0"/>
                <w:sz w:val="22"/>
                <w:szCs w:val="22"/>
                <w:lang/>
              </w:rPr>
            </w:pPr>
          </w:p>
        </w:tc>
      </w:tr>
      <w:tr w:rsidR="001316DB" w:rsidRPr="00ED0280" w:rsidTr="00C81B7B">
        <w:trPr>
          <w:trHeight w:val="526"/>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630" w:type="dxa"/>
            <w:gridSpan w:val="2"/>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r w:rsidRPr="00ED0280">
              <w:rPr>
                <w:rFonts w:ascii="微软雅黑" w:eastAsia="微软雅黑" w:hAnsi="微软雅黑" w:cs="仿宋_GB2312" w:hint="eastAsia"/>
                <w:bCs/>
                <w:color w:val="000000"/>
                <w:kern w:val="0"/>
                <w:sz w:val="22"/>
                <w:szCs w:val="22"/>
                <w:lang/>
              </w:rPr>
              <w:t>6%</w:t>
            </w:r>
          </w:p>
        </w:tc>
        <w:tc>
          <w:tcPr>
            <w:tcW w:w="1476"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硫铁矿</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硅藻土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脉石英</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膨润土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8.0%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耐火粘土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伊利石粘土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陶瓷土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砷</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硼</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长石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39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天然石英砂</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17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其他粘土（铸型用粘土、砖瓦用粘土、陶粒用粘土、水泥配料用粘土、水泥配料用红土、水泥配料用黄土、水泥配料用泥岩、保温材料用粘土）</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每吨2.5元</w:t>
            </w:r>
          </w:p>
        </w:tc>
      </w:tr>
      <w:tr w:rsidR="001316DB" w:rsidRPr="00ED0280" w:rsidTr="00C81B7B">
        <w:trPr>
          <w:trHeight w:val="17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明矾石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沸石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珍珠岩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方解石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硅灰石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46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叶蜡石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重晶石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云母</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sz w:val="22"/>
                <w:szCs w:val="22"/>
              </w:rPr>
              <w:t>49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透辉石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sz w:val="22"/>
                <w:szCs w:val="22"/>
              </w:rPr>
              <w:t>50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白垩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356"/>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岩</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石</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r w:rsidRPr="00ED0280">
              <w:rPr>
                <w:rFonts w:ascii="微软雅黑" w:eastAsia="微软雅黑" w:hAnsi="微软雅黑" w:cs="仿宋_GB2312" w:hint="eastAsia"/>
                <w:color w:val="000000"/>
                <w:kern w:val="0"/>
                <w:sz w:val="22"/>
                <w:szCs w:val="22"/>
                <w:lang/>
              </w:rPr>
              <w:t>类</w:t>
            </w:r>
          </w:p>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白云岩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3.0%</w:t>
            </w:r>
          </w:p>
        </w:tc>
      </w:tr>
      <w:tr w:rsidR="001316DB" w:rsidRPr="00ED0280" w:rsidTr="00C81B7B">
        <w:trPr>
          <w:trHeight w:val="279"/>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kern w:val="0"/>
                <w:sz w:val="22"/>
                <w:szCs w:val="22"/>
                <w:lang/>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石英岩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7.5%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花岗岩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8.0%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大理岩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玄武岩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凝灰岩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57</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闪长岩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480"/>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58</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辉绿岩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510"/>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59</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安山岩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495"/>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60</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片麻岩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1.5%</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61</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板岩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62</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页岩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63</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砂岩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1.0%</w:t>
            </w:r>
          </w:p>
        </w:tc>
      </w:tr>
      <w:tr w:rsidR="001316DB" w:rsidRPr="00ED0280" w:rsidTr="00C81B7B">
        <w:trPr>
          <w:trHeight w:val="324"/>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64</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含钾砂页岩</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218"/>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sz w:val="22"/>
                <w:szCs w:val="22"/>
              </w:rPr>
              <w:t>65</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泥炭</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5.5%</w:t>
            </w:r>
          </w:p>
        </w:tc>
      </w:tr>
      <w:tr w:rsidR="001316DB" w:rsidRPr="00ED0280" w:rsidTr="00C81B7B">
        <w:trPr>
          <w:trHeight w:val="218"/>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4.0%</w:t>
            </w:r>
          </w:p>
        </w:tc>
      </w:tr>
      <w:tr w:rsidR="001316DB" w:rsidRPr="00ED0280" w:rsidTr="00C81B7B">
        <w:trPr>
          <w:trHeight w:val="861"/>
          <w:jc w:val="center"/>
        </w:trPr>
        <w:tc>
          <w:tcPr>
            <w:tcW w:w="680"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sz w:val="22"/>
                <w:szCs w:val="22"/>
              </w:rPr>
              <w:t>66</w:t>
            </w: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color w:val="000000"/>
                <w:sz w:val="22"/>
                <w:szCs w:val="22"/>
              </w:rPr>
            </w:pPr>
          </w:p>
        </w:tc>
        <w:tc>
          <w:tcPr>
            <w:tcW w:w="2989" w:type="dxa"/>
            <w:vMerge w:val="restart"/>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砂石</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585"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4%</w:t>
            </w:r>
          </w:p>
        </w:tc>
        <w:tc>
          <w:tcPr>
            <w:tcW w:w="1521" w:type="dxa"/>
            <w:gridSpan w:val="2"/>
            <w:vMerge w:val="restart"/>
            <w:tcBorders>
              <w:tl2br w:val="nil"/>
              <w:tr2bl w:val="nil"/>
            </w:tcBorders>
            <w:shd w:val="clear" w:color="auto" w:fill="FFFFFF"/>
            <w:vAlign w:val="center"/>
          </w:tcPr>
          <w:p w:rsidR="001316DB" w:rsidRPr="00ED0280" w:rsidRDefault="001316DB" w:rsidP="00ED0280">
            <w:pPr>
              <w:widowControl/>
              <w:spacing w:line="220" w:lineRule="exact"/>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自用或者连续加工成非应税产品的从量计征，按每吨2元征收。</w:t>
            </w:r>
          </w:p>
        </w:tc>
      </w:tr>
      <w:tr w:rsidR="001316DB" w:rsidRPr="00ED0280" w:rsidTr="00C81B7B">
        <w:trPr>
          <w:trHeight w:val="497"/>
          <w:jc w:val="center"/>
        </w:trPr>
        <w:tc>
          <w:tcPr>
            <w:tcW w:w="680"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647"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683"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2989" w:type="dxa"/>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r w:rsidRPr="00ED0280">
              <w:rPr>
                <w:rFonts w:ascii="微软雅黑" w:eastAsia="微软雅黑" w:hAnsi="微软雅黑" w:cs="仿宋_GB2312" w:hint="eastAsia"/>
                <w:bCs/>
                <w:color w:val="000000"/>
                <w:kern w:val="0"/>
                <w:sz w:val="22"/>
                <w:szCs w:val="22"/>
                <w:lang/>
              </w:rPr>
              <w:t>选矿</w:t>
            </w:r>
          </w:p>
        </w:tc>
        <w:tc>
          <w:tcPr>
            <w:tcW w:w="585"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sz w:val="22"/>
                <w:szCs w:val="22"/>
              </w:rPr>
            </w:pPr>
            <w:r w:rsidRPr="00ED0280">
              <w:rPr>
                <w:rFonts w:ascii="微软雅黑" w:eastAsia="微软雅黑" w:hAnsi="微软雅黑" w:cs="仿宋_GB2312" w:hint="eastAsia"/>
                <w:bCs/>
                <w:color w:val="000000"/>
                <w:kern w:val="0"/>
                <w:sz w:val="22"/>
                <w:szCs w:val="22"/>
                <w:lang/>
              </w:rPr>
              <w:t>3%</w:t>
            </w:r>
          </w:p>
        </w:tc>
        <w:tc>
          <w:tcPr>
            <w:tcW w:w="1521" w:type="dxa"/>
            <w:gridSpan w:val="2"/>
            <w:vMerge/>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kern w:val="0"/>
                <w:sz w:val="22"/>
                <w:szCs w:val="22"/>
                <w:lang/>
              </w:rPr>
            </w:pPr>
          </w:p>
        </w:tc>
      </w:tr>
      <w:tr w:rsidR="001316DB" w:rsidRPr="00ED0280" w:rsidTr="00C81B7B">
        <w:trPr>
          <w:trHeight w:val="218"/>
          <w:jc w:val="center"/>
        </w:trPr>
        <w:tc>
          <w:tcPr>
            <w:tcW w:w="680"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sz w:val="22"/>
                <w:szCs w:val="22"/>
              </w:rPr>
              <w:t>67</w:t>
            </w:r>
          </w:p>
        </w:tc>
        <w:tc>
          <w:tcPr>
            <w:tcW w:w="1330" w:type="dxa"/>
            <w:gridSpan w:val="2"/>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水气矿产</w:t>
            </w:r>
          </w:p>
        </w:tc>
        <w:tc>
          <w:tcPr>
            <w:tcW w:w="298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矿泉水</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原矿</w:t>
            </w: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r w:rsidR="001316DB" w:rsidRPr="00ED0280" w:rsidTr="00C81B7B">
        <w:trPr>
          <w:trHeight w:val="223"/>
          <w:jc w:val="center"/>
        </w:trPr>
        <w:tc>
          <w:tcPr>
            <w:tcW w:w="680"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sz w:val="22"/>
                <w:szCs w:val="22"/>
              </w:rPr>
              <w:t>68</w:t>
            </w:r>
          </w:p>
        </w:tc>
        <w:tc>
          <w:tcPr>
            <w:tcW w:w="1330" w:type="dxa"/>
            <w:gridSpan w:val="2"/>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盐</w:t>
            </w:r>
          </w:p>
        </w:tc>
        <w:tc>
          <w:tcPr>
            <w:tcW w:w="2989" w:type="dxa"/>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color w:val="000000"/>
                <w:sz w:val="22"/>
                <w:szCs w:val="22"/>
              </w:rPr>
            </w:pPr>
            <w:r w:rsidRPr="00ED0280">
              <w:rPr>
                <w:rFonts w:ascii="微软雅黑" w:eastAsia="微软雅黑" w:hAnsi="微软雅黑" w:cs="仿宋_GB2312" w:hint="eastAsia"/>
                <w:color w:val="000000"/>
                <w:kern w:val="0"/>
                <w:sz w:val="22"/>
                <w:szCs w:val="22"/>
                <w:lang/>
              </w:rPr>
              <w:t>海盐</w:t>
            </w:r>
          </w:p>
        </w:tc>
        <w:tc>
          <w:tcPr>
            <w:tcW w:w="1559" w:type="dxa"/>
            <w:tcBorders>
              <w:tl2br w:val="nil"/>
              <w:tr2bl w:val="nil"/>
            </w:tcBorders>
            <w:shd w:val="clear" w:color="auto" w:fill="FFFFFF"/>
            <w:vAlign w:val="center"/>
          </w:tcPr>
          <w:p w:rsidR="001316DB" w:rsidRPr="00ED0280" w:rsidRDefault="001316DB" w:rsidP="00ED0280">
            <w:pPr>
              <w:widowControl/>
              <w:spacing w:line="220" w:lineRule="exact"/>
              <w:jc w:val="center"/>
              <w:rPr>
                <w:rFonts w:ascii="微软雅黑" w:eastAsia="微软雅黑" w:hAnsi="微软雅黑" w:cs="仿宋_GB2312"/>
                <w:bCs/>
                <w:color w:val="000000"/>
                <w:sz w:val="22"/>
                <w:szCs w:val="22"/>
              </w:rPr>
            </w:pPr>
          </w:p>
        </w:tc>
        <w:tc>
          <w:tcPr>
            <w:tcW w:w="2106" w:type="dxa"/>
            <w:gridSpan w:val="3"/>
            <w:tcBorders>
              <w:tl2br w:val="nil"/>
              <w:tr2bl w:val="nil"/>
            </w:tcBorders>
            <w:shd w:val="clear" w:color="auto" w:fill="FFFFFF"/>
            <w:vAlign w:val="center"/>
          </w:tcPr>
          <w:p w:rsidR="001316DB" w:rsidRPr="00ED0280" w:rsidRDefault="001316DB" w:rsidP="00ED0280">
            <w:pPr>
              <w:widowControl/>
              <w:spacing w:line="220" w:lineRule="exact"/>
              <w:jc w:val="center"/>
              <w:textAlignment w:val="center"/>
              <w:rPr>
                <w:rFonts w:ascii="微软雅黑" w:eastAsia="微软雅黑" w:hAnsi="微软雅黑" w:cs="仿宋_GB2312"/>
                <w:bCs/>
                <w:color w:val="000000"/>
                <w:sz w:val="22"/>
                <w:szCs w:val="22"/>
              </w:rPr>
            </w:pPr>
            <w:r w:rsidRPr="00ED0280">
              <w:rPr>
                <w:rFonts w:ascii="微软雅黑" w:eastAsia="微软雅黑" w:hAnsi="微软雅黑" w:cs="仿宋_GB2312" w:hint="eastAsia"/>
                <w:bCs/>
                <w:color w:val="000000"/>
                <w:kern w:val="0"/>
                <w:sz w:val="22"/>
                <w:szCs w:val="22"/>
                <w:lang/>
              </w:rPr>
              <w:t>2.0%</w:t>
            </w:r>
          </w:p>
        </w:tc>
      </w:tr>
    </w:tbl>
    <w:p w:rsidR="001316DB" w:rsidRPr="00ED0280" w:rsidRDefault="001316DB" w:rsidP="00ED0280">
      <w:pPr>
        <w:spacing w:line="240" w:lineRule="exact"/>
        <w:ind w:firstLineChars="200" w:firstLine="428"/>
        <w:rPr>
          <w:rFonts w:ascii="微软雅黑" w:eastAsia="微软雅黑" w:hAnsi="微软雅黑"/>
          <w:sz w:val="22"/>
          <w:szCs w:val="22"/>
        </w:rPr>
      </w:pPr>
    </w:p>
    <w:sectPr w:rsidR="001316DB" w:rsidRPr="00ED0280" w:rsidSect="00ED0280">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2E" w:rsidRDefault="00E01B2E" w:rsidP="00D57722">
      <w:pPr>
        <w:spacing w:line="240" w:lineRule="auto"/>
      </w:pPr>
      <w:r>
        <w:separator/>
      </w:r>
    </w:p>
  </w:endnote>
  <w:endnote w:type="continuationSeparator" w:id="0">
    <w:p w:rsidR="00E01B2E" w:rsidRDefault="00E01B2E"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74C4E">
      <w:rPr>
        <w:rFonts w:ascii="宋体" w:eastAsia="宋体" w:hAnsi="宋体" w:hint="eastAsia"/>
        <w:sz w:val="28"/>
      </w:rPr>
      <w:fldChar w:fldCharType="begin"/>
    </w:r>
    <w:r>
      <w:rPr>
        <w:rStyle w:val="a6"/>
        <w:rFonts w:ascii="宋体" w:eastAsia="宋体" w:hAnsi="宋体" w:hint="eastAsia"/>
        <w:sz w:val="28"/>
      </w:rPr>
      <w:instrText xml:space="preserve"> PAGE </w:instrText>
    </w:r>
    <w:r w:rsidR="00474C4E">
      <w:rPr>
        <w:rFonts w:ascii="宋体" w:eastAsia="宋体" w:hAnsi="宋体" w:hint="eastAsia"/>
        <w:sz w:val="28"/>
      </w:rPr>
      <w:fldChar w:fldCharType="separate"/>
    </w:r>
    <w:r w:rsidR="00ED0280">
      <w:rPr>
        <w:rStyle w:val="a6"/>
        <w:rFonts w:ascii="宋体" w:eastAsia="宋体" w:hAnsi="宋体"/>
        <w:noProof/>
        <w:sz w:val="28"/>
      </w:rPr>
      <w:t>4</w:t>
    </w:r>
    <w:r w:rsidR="00474C4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74C4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74C4E">
      <w:rPr>
        <w:rFonts w:ascii="宋体" w:eastAsia="宋体" w:hAnsi="宋体" w:cs="宋体" w:hint="eastAsia"/>
        <w:sz w:val="28"/>
        <w:szCs w:val="28"/>
      </w:rPr>
      <w:fldChar w:fldCharType="separate"/>
    </w:r>
    <w:r w:rsidR="00ED0280" w:rsidRPr="00ED0280">
      <w:rPr>
        <w:noProof/>
      </w:rPr>
      <w:t>2</w:t>
    </w:r>
    <w:r w:rsidR="00474C4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2E" w:rsidRDefault="00E01B2E" w:rsidP="00D57722">
      <w:pPr>
        <w:spacing w:line="240" w:lineRule="auto"/>
      </w:pPr>
      <w:r>
        <w:separator/>
      </w:r>
    </w:p>
  </w:footnote>
  <w:footnote w:type="continuationSeparator" w:id="0">
    <w:p w:rsidR="00E01B2E" w:rsidRDefault="00E01B2E"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316DB"/>
    <w:rsid w:val="00195369"/>
    <w:rsid w:val="001B173E"/>
    <w:rsid w:val="001F408F"/>
    <w:rsid w:val="0026714C"/>
    <w:rsid w:val="002832D4"/>
    <w:rsid w:val="00325CCF"/>
    <w:rsid w:val="003F4F52"/>
    <w:rsid w:val="00442C30"/>
    <w:rsid w:val="00471C2E"/>
    <w:rsid w:val="00474C4E"/>
    <w:rsid w:val="004E6073"/>
    <w:rsid w:val="00543115"/>
    <w:rsid w:val="0055646D"/>
    <w:rsid w:val="005D1282"/>
    <w:rsid w:val="00664B93"/>
    <w:rsid w:val="00670366"/>
    <w:rsid w:val="00673543"/>
    <w:rsid w:val="006844AE"/>
    <w:rsid w:val="00693CC7"/>
    <w:rsid w:val="006F1B2E"/>
    <w:rsid w:val="007072FA"/>
    <w:rsid w:val="00760C78"/>
    <w:rsid w:val="007A02F1"/>
    <w:rsid w:val="007C6B43"/>
    <w:rsid w:val="007E7972"/>
    <w:rsid w:val="00821AE1"/>
    <w:rsid w:val="00863851"/>
    <w:rsid w:val="00881273"/>
    <w:rsid w:val="00885EF2"/>
    <w:rsid w:val="0089206F"/>
    <w:rsid w:val="0089292F"/>
    <w:rsid w:val="008A579E"/>
    <w:rsid w:val="009A719B"/>
    <w:rsid w:val="009D7F52"/>
    <w:rsid w:val="009E0FFF"/>
    <w:rsid w:val="009F46E8"/>
    <w:rsid w:val="00A0649E"/>
    <w:rsid w:val="00A1480A"/>
    <w:rsid w:val="00A63AA8"/>
    <w:rsid w:val="00B26CB1"/>
    <w:rsid w:val="00B328B8"/>
    <w:rsid w:val="00B57C35"/>
    <w:rsid w:val="00BC2E44"/>
    <w:rsid w:val="00BC69E5"/>
    <w:rsid w:val="00C16D8D"/>
    <w:rsid w:val="00C26BE1"/>
    <w:rsid w:val="00C53B1D"/>
    <w:rsid w:val="00C668EF"/>
    <w:rsid w:val="00C971A5"/>
    <w:rsid w:val="00C974B7"/>
    <w:rsid w:val="00D41F28"/>
    <w:rsid w:val="00D57722"/>
    <w:rsid w:val="00DB1A8B"/>
    <w:rsid w:val="00DF139B"/>
    <w:rsid w:val="00DF69CD"/>
    <w:rsid w:val="00E01B2E"/>
    <w:rsid w:val="00E05930"/>
    <w:rsid w:val="00ED0280"/>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164</TotalTime>
  <Pages>3</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41</cp:revision>
  <dcterms:created xsi:type="dcterms:W3CDTF">2017-01-11T09:18:00Z</dcterms:created>
  <dcterms:modified xsi:type="dcterms:W3CDTF">2024-07-05T03:04:00Z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