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bookmarkStart w:id="0" w:name="_GoBack"/>
      <w:bookmarkEnd w:id="0"/>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社会救助暂行办法</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(2014年2月21日中华人民共和国国务院令第649号公布　根据2019年3月2日《国务院关于修改部分行政法规的决定》修订)</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为了加强社会救助，保障公民的基本生活，促进社会公平，维护社会和谐稳定，根据宪法，制定本办法。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社会救助制度坚持托底线、救急难、可持续，与其他社会保障制度相衔接，社会救助水平与经济社会发展水平相适应。</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社会救助工作应当遵循公开、公平、公正、及时的原则。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国务院民政部门统筹全国社会救助体系建设。国务院民政、应急管理、卫生健康、教育、住房城乡建设、人力资源社会保障、医疗保障等部门，按照各自职责负责相应的社会救助管理工作。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县级以上地方人民政府民政、应急管理、卫生健康、教育、住房城乡建设、人力资源社会保障、医疗保障等部门，按照各自职责负责本行政区域内相应的社会救助管理工作。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前两款所列行政部门统称社会救助管理部门。</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乡镇人民政府、街道办事处负责有关社会救助的申请受理、调查审核，具体工作由社会救助经办机构或者经办人员承担。</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村民委员会、居民委员会协助做好有关社会救助工作。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社会救助资金实行专项管理，分账核算，专款专用，任何单位或者个人不得挤占挪用。社会救助资金的支付，按照财政国库管理的有关规定执行。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县级以上人民政府应当按照国家统一规划建立社会救助管理信息系统，实现社会救助信息互联互通、资源共享。</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国家鼓励、支持社会力量参与社会救助。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对在社会救助工作中作出显著成绩的单位、个人，按照国家有关规定给予表彰、奖励。</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最低生活保障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国家对共同生活的家庭成员人均收入低于当地最低生活保障标准，且符合当地最低生活保障家庭财产状况规定的家庭，给予最低生活保障。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最低生活保障标准，由省、自治区、直辖市或者设区的市级人民政府按照当地居民生活必需的费用确定、公布，并根据当地经济社会发展水平和物价变动情况适时调整。</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最低生活保障家庭收入状况、财产状况的认定办法，由省、自治区、直辖市或者设区的市级人民政府按照国家有关规定制定。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申请最低生活保障，按照下列程序办理：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(一)由共同生活的家庭成员向户籍所在地的乡镇人民政府、街道办事处提出书面申请；家庭成员申请有困难的，可以委托村民委员会、居民委员会代为提出申请。</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(三)县级人民政府民政部门经审查，对符合条件的申请予以批准，并在申请人所在村、社区公布；对不符合条件的申请不予批准，并书面向申请人说明理由。</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对批准获得最低生活保障的家庭，县级人民政府民政部门按照共同生活的家庭成员人均收入低于当地最低生活保障标准的差额，按月发给最低生活保障金。</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对获得最低生活保障后生活仍有困难的老年人、未成年人、重度残疾人和重病患者，县级以上地方人民政府应当采取必要措施给予生活保障。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最低生活保障家庭的人口状况、收入状况、财产状况发生变化的，应当及时告知乡镇人民政府、街道办事处。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县级人民政府民政部门以及乡镇人民政府、街道办事处应当对获得最低生活保障家庭的人口状况、收入状况、财产状况定期核查。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最低生活保障家庭的人口状况、收入状况、财产状况发生变化的，县级人民政府民政部门应当及时决定增发、减发或者停发最低生活保障金；决定停发最低生活保障金的，应当书面说明理由。</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特困人员供养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国家对无劳动能力、无生活来源且无法定赡养、抚养、扶养义务人，或者其法定赡养、抚养、扶养义务人无赡养、抚养、扶养能力的老年人、残疾人以及未满16周岁的未成年人，给予特困人员供养。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特困人员供养的内容包括：</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(一)提供基本生活条件；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(二)对生活不能自理的给予照料；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(三)提供疾病治疗；</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(四)办理丧葬事宜。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特困人员供养标准，由省、自治区、直辖市或者设区的市级人民政府确定、公布。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特困人员供养应当与城乡居民基本养老保险、基本医疗保障、最低生活保障、孤儿基本生活保障等制度相衔接。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申请特困人员供养，由本人向户籍所在地的乡镇人民政府、街道办事处提出书面申请；本人申请有困难的，可以委托村民委员会、居民委员会代为提出申请。</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特困人员供养的审批程序适用本办法第十一条规定。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乡镇人民政府、街道办事处应当及时了解掌握居民的生活情况，发现符合特困供养条件的人员，应当主动为其依法办理供养。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特困供养人员可以在当地的供养服务机构集中供养，也可以在家分散供养。特困供养人员可以自行选择供养形式。</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受灾人员救助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国家建立健全自然灾害救助制度，对基本生活受到自然灾害严重影响的人员，提供生活救助。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自然灾害救助实行属地管理，分级负责。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设区的市级以上人民政府和自然灾害多发、易发地区的县级人民政府应当根据自然灾害特点、居民人口数量和分布等情况，设立自然灾害救助物资储备库，保障自然灾害发生后救助物资的紧急供应。</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灾情稳定后，受灾地区县级以上人民政府应当评估、核定并发布自然灾害损失情况。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受灾地区人民政府应当在确保安全的前提下，对住房损毁严重的受灾人员进行过渡性安置。</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自然灾害危险消除后，受灾地区人民政府应急管理等部门应当及时核实本行政区域内居民住房恢复重建补助对象，并给予资金、物资等救助。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自然灾害发生后，受灾地区人民政府应当为因当年冬寒或者次年春荒遇到生活困难的受灾人员提供基本生活救助。</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医疗救助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国家建立健全医疗救助制度，保障医疗救助对象获得基本医疗卫生服务。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下列人员可以申请相关医疗救助：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(一)最低生活保障家庭成员；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(二)特困供养人员；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(三)县级以上人民政府规定的其他特殊困难人员。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医疗救助采取下列方式：</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(一)对救助对象参加城镇居民基本医疗保险或者新型农村合作医疗的个人缴费部分，给予补贴；</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(二)对救助对象经基本医疗保险、大病保险和其他补充医疗保险支付后，个人及其家庭难以承担的符合规定的基本医疗自负费用，给予补助。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医疗救助标准，由县级以上人民政府按照经济社会发展水平和医疗救助资金情况确定、公布。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申请医疗救助的，应当向乡镇人民政府、街道办事处提出，经审核、公示后，由县级人民政府医疗保障部门审批。最低生活保障家庭成员和特困供养人员的医疗救助，由县级人民政府医疗保障部门直接办理。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县级以上人民政府应当建立健全医疗救助与基本医疗保险、大病保险相衔接的医疗费用结算机制，为医疗救助对象提供便捷服务。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国家建立疾病应急救助制度，对需要急救但身份不明或者无力支付急救费用的急重危伤病患者给予救助。符合规定的急救费用由疾病应急救助基金支付。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疾病应急救助制度应当与其他医疗保障制度相衔接。</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教育救助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国家对在义务教育阶段就学的最低生活保障家庭成员、特困供养人员，给予教育救助。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对在高中教育(含中等职业教育)、普通高等教育阶段就学的最低生活保障家庭成员、特困供养人员，以及不能入学接受义务教育的残疾儿童，根据实际情况给予适当教育救助。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教育救助根据不同教育阶段需求，采取减免相关费用、发放助学金、给予生活补助、安排勤工助学等方式实施，保障教育救助对象基本学习、生活需求。</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教育救助标准，由省、自治区、直辖市人民政府根据经济社会发展水平和教育救助对象的基本学习、生活需求确定、公布。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申请教育救助，应当按照国家有关规定向就读学校提出，按规定程序审核、确认后，由学校按照国家有关规定实施。</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住房救助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国家对符合规定标准的住房困难的最低生活保障家庭、分散供养的特困人员，给予住房救助。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住房救助通过配租公共租赁住房、发放住房租赁补贴、农村危房改造等方式实施。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住房困难标准和救助标准，由县级以上地方人民政府根据本行政区域经济社会发展水平、住房价格水平等因素确定、公布。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农村家庭申请住房救助的，按照县级以上人民政府有关规定执行。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各级人民政府按照国家规定通过财政投入、用地供应等措施为实施住房救助提供保障。</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就业救助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国家对最低生活保障家庭中有劳动能力并处于失业状态的成员，通过贷款贴息、社会保险补贴、岗位补贴、培训补贴、费用减免、公益性岗位安置等办法，给予就业救助。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最低生活保障家庭有劳动能力的成员均处于失业状态的，县级以上地方人民政府应当采取有针对性的措施，确保该家庭至少有一人就业。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申请就业救助的，应当向住所地街道、社区公共就业服务机构提出，公共就业服务机构核实后予以登记，并免费提供就业岗位信息、职业介绍、职业指导等就业服务。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吸纳就业救助对象的用人单位，按照国家有关规定享受社会保险补贴、税收优惠、小额担保贷款等就业扶持政策。</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第九章　临时救助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临时救助的具体事项、标准，由县级以上地方人民政府确定、公布。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国家对生活无着的流浪、乞讨人员提供临时食宿、急病救治、协助返回等救助。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第十章　社会力量参与</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国家鼓励单位和个人等社会力量通过捐赠、设立帮扶项目、创办服务机构、提供志愿服务等方式，参与社会救助。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社会力量参与社会救助，按照国家有关规定享受财政补贴、税收优惠、费用减免等政策。</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县级以上地方人民政府可以将社会救助中的具体服务事项通过委托、承包、采购等方式，向社会力量购买服务。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县级以上地方人民政府应当发挥社会工作服务机构和社会工作者作用，为社会救助对象提供社会融入、能力提升、心理疏导等专业服务。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社会救助管理部门及相关机构应当建立社会力量参与社会救助的机制和渠道，提供社会救助项目、需求信息，为社会力量参与社会救助创造条件、提供便利。</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第十一章　监督管理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县级以上人民政府及其社会救助管理部门应当加强对社会救助工作的监督检查，完善相关监督管理制度。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申请或者已获得社会救助的家庭，应当按照规定如实申报家庭收入状况、财产状况。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县级以上人民政府民政部门应当建立申请和已获得社会救助家庭经济状况信息核对平台，为审核认定社会救助对象提供依据。</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乡镇人民政府、街道办事处应当建立统一受理社会救助申请的窗口，及时受理、转办申请事项。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履行社会救助职责的工作人员对在社会救助工作中知悉的公民个人信息，除按照规定应当公示的信息外，应当予以保密。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县级以上人民政府及其社会救助管理部门应当通过报刊、广播、电视、互联网等媒体，宣传社会救助法律、法规和政策。</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县级人民政府及其社会救助管理部门应当通过公共查阅室、资料索取点、信息公告栏等便于公众知晓的途径，及时公开社会救助资金、物资的管理和使用等情况，接受社会监督。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履行社会救助职责的工作人员行使职权，应当接受社会监督。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任何单位、个人有权对履行社会救助职责的工作人员在社会救助工作中的违法行为进行举报、投诉。受理举报、投诉的机关应当及时核实、处理。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县级以上人民政府财政部门、审计机关依法对社会救助资金、物资的筹集、分配、管理和使用实施监督。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申请或者已获得社会救助的家庭或者人员，对社会救助管理部门作出的具体行政行为不服的，可以依法申请行政复议或者提起行政诉讼。</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第十二章　法律责任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违反本办法规定，有下列情形之一的，由上级行政机关或者监察机关责令改正；对直接负责的主管人员和其他直接责任人员依法给予处分：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(一)对符合申请条件的救助申请不予受理的；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(二)对符合救助条件的救助申请不予批准的；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(三)对不符合救助条件的救助申请予以批准的；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(四)泄露在工作中知悉的公民个人信息，造成后果的；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(五)丢失、篡改接受社会救助款物、服务记录等数据的；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(六)不按照规定发放社会救助资金、物资或者提供相关服务的；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(七)在履行社会救助职责过程中有其他滥用职权、玩忽职守、徇私舞弊行为的。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违反本办法规定，截留、挤占、挪用、私分社会救助资金、物资的，由有关部门责令追回；有违法所得的，没收违法所得；对直接负责的主管人员和其他直接责任人员依法给予处分。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违反本办法规定，构成犯罪的，依法追究刑事责任。</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第十三章　附则</w:t>
      </w:r>
    </w:p>
    <w:p>
      <w:pPr>
        <w:pStyle w:val="13"/>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本办法自2014年5月1日起施行。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BD90E46"/>
    <w:rsid w:val="0D3C4224"/>
    <w:rsid w:val="0D610029"/>
    <w:rsid w:val="0DFE10B9"/>
    <w:rsid w:val="10A47D69"/>
    <w:rsid w:val="1263143F"/>
    <w:rsid w:val="134A1994"/>
    <w:rsid w:val="136642BB"/>
    <w:rsid w:val="142327B5"/>
    <w:rsid w:val="14484CDF"/>
    <w:rsid w:val="155E2CB3"/>
    <w:rsid w:val="157124FD"/>
    <w:rsid w:val="18413C16"/>
    <w:rsid w:val="198A0A54"/>
    <w:rsid w:val="19DB6C33"/>
    <w:rsid w:val="1C9212F7"/>
    <w:rsid w:val="1EAF5181"/>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0320CF"/>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2019-12-25T14:26:40Z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