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80" w:rsidRDefault="009C6080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9C6080" w:rsidRDefault="0019278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征收教育费附加的暂行规定</w:t>
      </w:r>
    </w:p>
    <w:p w:rsidR="009C6080" w:rsidRDefault="009C6080">
      <w:pPr>
        <w:pStyle w:val="a3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:rsidR="009C6080" w:rsidRDefault="0019278E">
      <w:pPr>
        <w:pStyle w:val="a3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r>
        <w:rPr>
          <w:rFonts w:ascii="楷体_GB2312" w:eastAsia="楷体_GB2312" w:hAnsi="楷体_GB2312" w:cs="楷体_GB2312" w:hint="eastAsia"/>
          <w:sz w:val="32"/>
          <w:szCs w:val="32"/>
        </w:rPr>
        <w:t>(1986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28</w:t>
      </w:r>
      <w:r>
        <w:rPr>
          <w:rFonts w:ascii="楷体_GB2312" w:eastAsia="楷体_GB2312" w:hAnsi="楷体_GB2312" w:cs="楷体_GB2312" w:hint="eastAsia"/>
          <w:sz w:val="32"/>
          <w:szCs w:val="32"/>
        </w:rPr>
        <w:t>日国务院发布　根据</w:t>
      </w:r>
      <w:r>
        <w:rPr>
          <w:rFonts w:ascii="楷体_GB2312" w:eastAsia="楷体_GB2312" w:hAnsi="楷体_GB2312" w:cs="楷体_GB2312" w:hint="eastAsia"/>
          <w:sz w:val="32"/>
          <w:szCs w:val="32"/>
        </w:rPr>
        <w:t>1990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6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7</w:t>
      </w:r>
      <w:r>
        <w:rPr>
          <w:rFonts w:ascii="楷体_GB2312" w:eastAsia="楷体_GB2312" w:hAnsi="楷体_GB2312" w:cs="楷体_GB2312" w:hint="eastAsia"/>
          <w:sz w:val="32"/>
          <w:szCs w:val="32"/>
        </w:rPr>
        <w:t>日《国务院关于修改〈征收教育费附加的暂行规定〉的决定》第一次修订　根据</w:t>
      </w:r>
      <w:r>
        <w:rPr>
          <w:rFonts w:ascii="楷体_GB2312" w:eastAsia="楷体_GB2312" w:hAnsi="楷体_GB2312" w:cs="楷体_GB2312" w:hint="eastAsia"/>
          <w:sz w:val="32"/>
          <w:szCs w:val="32"/>
        </w:rPr>
        <w:t>2005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8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20</w:t>
      </w:r>
      <w:r>
        <w:rPr>
          <w:rFonts w:ascii="楷体_GB2312" w:eastAsia="楷体_GB2312" w:hAnsi="楷体_GB2312" w:cs="楷体_GB2312" w:hint="eastAsia"/>
          <w:sz w:val="32"/>
          <w:szCs w:val="32"/>
        </w:rPr>
        <w:t>日《国务院关于修改〈征收教育费附加的暂行规定〉的决定》第二次修订　根据</w:t>
      </w:r>
      <w:r>
        <w:rPr>
          <w:rFonts w:ascii="楷体_GB2312" w:eastAsia="楷体_GB2312" w:hAnsi="楷体_GB2312" w:cs="楷体_GB2312" w:hint="eastAsia"/>
          <w:sz w:val="32"/>
          <w:szCs w:val="32"/>
        </w:rPr>
        <w:t>2011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8</w:t>
      </w:r>
      <w:r>
        <w:rPr>
          <w:rFonts w:ascii="楷体_GB2312" w:eastAsia="楷体_GB2312" w:hAnsi="楷体_GB2312" w:cs="楷体_GB2312" w:hint="eastAsia"/>
          <w:sz w:val="32"/>
          <w:szCs w:val="32"/>
        </w:rPr>
        <w:t>日《国务院关于废止和修改部分行政法规的决定》第三次修订</w:t>
      </w:r>
      <w:r>
        <w:rPr>
          <w:rFonts w:ascii="楷体_GB2312" w:eastAsia="楷体_GB2312" w:hAnsi="楷体_GB2312" w:cs="楷体_GB2312" w:hint="eastAsia"/>
          <w:sz w:val="32"/>
          <w:szCs w:val="32"/>
        </w:rPr>
        <w:t>)</w:t>
      </w:r>
    </w:p>
    <w:bookmarkEnd w:id="0"/>
    <w:p w:rsidR="009C6080" w:rsidRDefault="009C6080">
      <w:pPr>
        <w:pStyle w:val="a3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:rsidR="009C6080" w:rsidRPr="00193D15" w:rsidRDefault="0019278E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第一条　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为贯彻落实《中共中央关于教育体制改革的决定》，加快发展地方教育事业，扩大地方教育经费的资金来源，特制定本规定。</w:t>
      </w:r>
    </w:p>
    <w:p w:rsidR="009C6080" w:rsidRPr="00193D15" w:rsidRDefault="0019278E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第二条　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凡缴纳消费税、增值税、营业税的单位和个人，除按照《国务院关于筹措农村学校办学经费的通知》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国发〔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1984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174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号文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的规定，缴纳农村教育事业费附加的单位外，都应当依照本规定缴纳教育费附加。</w:t>
      </w:r>
    </w:p>
    <w:p w:rsidR="009C6080" w:rsidRPr="00193D15" w:rsidRDefault="0019278E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第三条　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教育费附加，以各单位和个人实际缴纳的增值税、营业税、消费税的税额为计征依据，教育费附加率为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3%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，分别与增值税、营业税、消费税同时缴纳。</w:t>
      </w:r>
    </w:p>
    <w:p w:rsidR="009C6080" w:rsidRDefault="0019278E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除国务院另有规定者外，任何地区、部门不得擅自提高或者降低</w:t>
      </w:r>
      <w:r>
        <w:rPr>
          <w:rFonts w:ascii="Times New Roman" w:eastAsia="仿宋_GB2312" w:hAnsi="Times New Roman" w:cs="Times New Roman"/>
          <w:sz w:val="32"/>
          <w:szCs w:val="32"/>
        </w:rPr>
        <w:t>教育费附加率。</w:t>
      </w:r>
    </w:p>
    <w:p w:rsidR="009C6080" w:rsidRPr="00193D15" w:rsidRDefault="0019278E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 xml:space="preserve">第四条　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依照现行有关规定，除铁道系统、中国人民银行总行、各专业银行总行、保险总公司的教育附加随同营业税上缴中央财政外，其余单位和个人的教育费附加，均就地上缴地方财政。</w:t>
      </w:r>
    </w:p>
    <w:p w:rsidR="009C6080" w:rsidRPr="00193D15" w:rsidRDefault="0019278E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第五条　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教育费附加由税务机关负责征收。</w:t>
      </w:r>
    </w:p>
    <w:p w:rsidR="009C6080" w:rsidRPr="00193D15" w:rsidRDefault="0019278E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教育费附加纳入预算管理，作为教育专项资金，根据</w:t>
      </w:r>
      <w:r w:rsidRPr="00193D15">
        <w:rPr>
          <w:rFonts w:ascii="仿宋_GB2312" w:eastAsia="仿宋_GB2312" w:hAnsi="宋体" w:cs="Times New Roman" w:hint="eastAsia"/>
          <w:sz w:val="32"/>
          <w:szCs w:val="32"/>
        </w:rPr>
        <w:t>“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先收后支、列收列支、收支平衡</w:t>
      </w:r>
      <w:r w:rsidRPr="00193D15">
        <w:rPr>
          <w:rFonts w:ascii="仿宋_GB2312" w:eastAsia="仿宋_GB2312" w:hAnsi="宋体" w:cs="Times New Roman" w:hint="eastAsia"/>
          <w:sz w:val="32"/>
          <w:szCs w:val="32"/>
        </w:rPr>
        <w:t>”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的原则使用和管理。地方各级人民政府应当依照国家有关规定，使预算内教育事业费逐步增长，不得因教育费附加纳入预算专项资金管理而抵顶教育事业费拨款。</w:t>
      </w:r>
    </w:p>
    <w:p w:rsidR="009C6080" w:rsidRPr="00193D15" w:rsidRDefault="0019278E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第六条　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教育费附加的征收管理，按照消费税、增值税、营业税的有关规定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办理。</w:t>
      </w:r>
    </w:p>
    <w:p w:rsidR="009C6080" w:rsidRPr="00193D15" w:rsidRDefault="0019278E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第七条　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企业缴纳的教育费附加，一律在销售收入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或营业收入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中支付。</w:t>
      </w:r>
    </w:p>
    <w:p w:rsidR="009C6080" w:rsidRPr="00193D15" w:rsidRDefault="0019278E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第八条　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地方征收的教育费附加，按专项资金管理，由教育部门统筹安排，提出分配方案，商同级财政部门同意后，用于改善中小学教学设施和办学条件，不得用于职工福利和发放奖金。</w:t>
      </w:r>
    </w:p>
    <w:p w:rsidR="009C6080" w:rsidRDefault="0019278E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铁道系统、中国人民银行总行、各专业银行总行、保险总公司随同营业税上缴的教育费附加，由国家教育委员会按年度提出分配方案，商财政部同意后，用于基础教育的薄弱环节。</w:t>
      </w:r>
    </w:p>
    <w:p w:rsidR="009C6080" w:rsidRDefault="0019278E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地方征收的教育费附加，主要留归当地安排使用。省、自治区、直辖市可根据各地征收教育费附加的实际情况，适当提取一部</w:t>
      </w:r>
      <w:r>
        <w:rPr>
          <w:rFonts w:ascii="Times New Roman" w:eastAsia="仿宋_GB2312" w:hAnsi="Times New Roman" w:cs="Times New Roman"/>
          <w:sz w:val="32"/>
          <w:szCs w:val="32"/>
        </w:rPr>
        <w:t>分数额，用于地区之间的调剂、平衡。</w:t>
      </w:r>
    </w:p>
    <w:p w:rsidR="009C6080" w:rsidRPr="00193D15" w:rsidRDefault="0019278E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第九条　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地方各级教育部门每年应定期向当地人民政府、上级主管部门和财政部门，报告教育费附加的收支情况。</w:t>
      </w:r>
    </w:p>
    <w:p w:rsidR="009C6080" w:rsidRPr="00193D15" w:rsidRDefault="0019278E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第十条　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凡办有职工子弟学校的单位，应当先按本规定缴纳教育费附加；教育部门可根据它们办学的情况酌情返还给办学单位，作为对所办学校经费的补贴。办学单位不得借口缴纳教育费附加而撤并学校，或者缩小办学规模。</w:t>
      </w:r>
    </w:p>
    <w:p w:rsidR="009C6080" w:rsidRPr="00193D15" w:rsidRDefault="0019278E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第十一条　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征收教育费附加以后，地方各级教育部门和学校，不准以任何名目向学生家长和单位集资，或者变相集资，不准以任何借口不让学生入学。</w:t>
      </w:r>
    </w:p>
    <w:p w:rsidR="009C6080" w:rsidRDefault="0019278E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对违反前款规定者，其上级教育部门要予以制止，直接责任人员要给予行政处分。单位和个人有权拒缴。</w:t>
      </w:r>
    </w:p>
    <w:p w:rsidR="009C6080" w:rsidRPr="00193D15" w:rsidRDefault="0019278E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第十二条　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本规定由财政部负责解释。各省、自治区、直辖市人民政府可结合当地实际情况制定实施办法。</w:t>
      </w:r>
    </w:p>
    <w:p w:rsidR="009C6080" w:rsidRPr="00193D15" w:rsidRDefault="0019278E">
      <w:pPr>
        <w:ind w:firstLineChars="200" w:firstLine="640"/>
        <w:rPr>
          <w:rFonts w:ascii="仿宋_GB2312" w:eastAsia="仿宋_GB2312" w:hint="eastAsia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第十三条　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本规定从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1986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193D15">
        <w:rPr>
          <w:rFonts w:ascii="仿宋_GB2312" w:eastAsia="仿宋_GB2312" w:hAnsi="Times New Roman" w:cs="Times New Roman" w:hint="eastAsia"/>
          <w:sz w:val="32"/>
          <w:szCs w:val="32"/>
        </w:rPr>
        <w:t>日起施行。</w:t>
      </w:r>
    </w:p>
    <w:sectPr w:rsidR="009C6080" w:rsidRPr="00193D15" w:rsidSect="009C608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78E" w:rsidRDefault="0019278E" w:rsidP="009C6080">
      <w:r>
        <w:separator/>
      </w:r>
    </w:p>
  </w:endnote>
  <w:endnote w:type="continuationSeparator" w:id="1">
    <w:p w:rsidR="0019278E" w:rsidRDefault="0019278E" w:rsidP="009C6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080" w:rsidRDefault="009C608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9C6080" w:rsidRDefault="009C6080">
                <w:pPr>
                  <w:pStyle w:val="a4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19278E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193D15">
                  <w:rPr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78E" w:rsidRDefault="0019278E" w:rsidP="009C6080">
      <w:r>
        <w:separator/>
      </w:r>
    </w:p>
  </w:footnote>
  <w:footnote w:type="continuationSeparator" w:id="1">
    <w:p w:rsidR="0019278E" w:rsidRDefault="0019278E" w:rsidP="009C6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BE071E"/>
    <w:rsid w:val="001162F5"/>
    <w:rsid w:val="0019278E"/>
    <w:rsid w:val="00193D15"/>
    <w:rsid w:val="007D7939"/>
    <w:rsid w:val="009C6080"/>
    <w:rsid w:val="00BD0F45"/>
    <w:rsid w:val="01BE071E"/>
    <w:rsid w:val="12773066"/>
    <w:rsid w:val="627278FE"/>
    <w:rsid w:val="78EE4688"/>
    <w:rsid w:val="7C0D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9C6080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9C60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9C60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dcterms:created xsi:type="dcterms:W3CDTF">2019-05-22T13:59:00Z</dcterms:created>
  <dcterms:modified xsi:type="dcterms:W3CDTF">2019-07-08T02:57:00Z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