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Arial"/>
          <w:kern w:val="0"/>
          <w:szCs w:val="32"/>
        </w:rPr>
      </w:pPr>
    </w:p>
    <w:p>
      <w:pPr>
        <w:rPr>
          <w:rFonts w:hint="eastAsia" w:ascii="宋体" w:hAnsi="宋体" w:eastAsia="宋体" w:cs="Arial"/>
          <w:kern w:val="0"/>
          <w:szCs w:val="32"/>
        </w:rPr>
      </w:pPr>
    </w:p>
    <w:p>
      <w:pPr>
        <w:jc w:val="center"/>
        <w:rPr>
          <w:rFonts w:ascii="宋体" w:hAnsi="宋体" w:eastAsia="宋体" w:cs="Arial"/>
          <w:bCs/>
          <w:sz w:val="44"/>
          <w:szCs w:val="44"/>
        </w:rPr>
      </w:pPr>
      <w:bookmarkStart w:id="0" w:name="Title"/>
      <w:r>
        <w:rPr>
          <w:rFonts w:ascii="宋体" w:hAnsi="宋体" w:eastAsia="宋体" w:cs="Arial"/>
          <w:bCs/>
          <w:sz w:val="44"/>
          <w:szCs w:val="44"/>
        </w:rPr>
        <w:t>全国人民代表大会常务委员会关于惩治走私、</w:t>
      </w:r>
    </w:p>
    <w:p>
      <w:pPr>
        <w:jc w:val="center"/>
        <w:rPr>
          <w:rFonts w:ascii="宋体" w:hAnsi="宋体" w:eastAsia="宋体" w:cs="Arial"/>
          <w:bCs/>
          <w:sz w:val="44"/>
          <w:szCs w:val="44"/>
        </w:rPr>
      </w:pPr>
      <w:r>
        <w:rPr>
          <w:rFonts w:ascii="宋体" w:hAnsi="宋体" w:eastAsia="宋体" w:cs="Arial"/>
          <w:bCs/>
          <w:sz w:val="44"/>
          <w:szCs w:val="44"/>
        </w:rPr>
        <w:t>制作、贩卖、传播淫秽物品的犯罪分子的决定</w:t>
      </w:r>
      <w:bookmarkEnd w:id="0"/>
    </w:p>
    <w:p>
      <w:pPr>
        <w:ind w:right="632" w:rightChars="200"/>
        <w:rPr>
          <w:rFonts w:ascii="宋体" w:hAnsi="宋体" w:eastAsia="宋体" w:cs="Arial"/>
          <w:bCs/>
          <w:szCs w:val="32"/>
        </w:rPr>
      </w:pPr>
      <w:bookmarkStart w:id="1" w:name="AddRun"/>
    </w:p>
    <w:bookmarkEnd w:id="1"/>
    <w:p>
      <w:pPr>
        <w:ind w:left="632" w:leftChars="200" w:right="632" w:rightChars="200"/>
        <w:rPr>
          <w:rFonts w:hint="eastAsia" w:ascii="宋体" w:hAnsi="宋体" w:eastAsia="宋体" w:cs="Arial"/>
          <w:bCs/>
          <w:szCs w:val="32"/>
        </w:rPr>
      </w:pPr>
      <w:bookmarkStart w:id="2" w:name="TitleDescription"/>
      <w:r>
        <w:rPr>
          <w:rFonts w:hint="eastAsia" w:ascii="楷体_GB2312" w:hAnsi="Arial" w:eastAsia="楷体_GB2312" w:cs="Arial"/>
          <w:szCs w:val="32"/>
        </w:rPr>
        <w:t>（</w:t>
      </w:r>
      <w:r>
        <w:rPr>
          <w:rFonts w:hint="default" w:ascii="Times New Roman" w:hAnsi="Times New Roman" w:eastAsia="楷体_GB2312" w:cs="Times New Roman"/>
          <w:szCs w:val="32"/>
        </w:rPr>
        <w:t>1990</w:t>
      </w:r>
      <w:r>
        <w:rPr>
          <w:rFonts w:hint="eastAsia" w:ascii="楷体_GB2312" w:hAnsi="Arial" w:eastAsia="楷体_GB2312" w:cs="Arial"/>
          <w:szCs w:val="32"/>
        </w:rPr>
        <w:t>年</w:t>
      </w:r>
      <w:r>
        <w:rPr>
          <w:rFonts w:hint="default" w:ascii="Times New Roman" w:hAnsi="Times New Roman" w:eastAsia="楷体_GB2312" w:cs="Times New Roman"/>
          <w:szCs w:val="32"/>
        </w:rPr>
        <w:t>12</w:t>
      </w:r>
      <w:r>
        <w:rPr>
          <w:rFonts w:hint="eastAsia" w:ascii="楷体_GB2312" w:hAnsi="Arial" w:eastAsia="楷体_GB2312" w:cs="Arial"/>
          <w:szCs w:val="32"/>
        </w:rPr>
        <w:t>月</w:t>
      </w:r>
      <w:r>
        <w:rPr>
          <w:rFonts w:hint="default" w:ascii="Times New Roman" w:hAnsi="Times New Roman" w:eastAsia="楷体_GB2312" w:cs="Times New Roman"/>
          <w:szCs w:val="32"/>
        </w:rPr>
        <w:t>28</w:t>
      </w:r>
      <w:r>
        <w:rPr>
          <w:rFonts w:hint="eastAsia" w:ascii="楷体_GB2312" w:hAnsi="Arial" w:eastAsia="楷体_GB2312" w:cs="Arial"/>
          <w:szCs w:val="32"/>
        </w:rPr>
        <w:t>日第七届全国人民代表大会常务委员会第十七次会议通过　根据</w:t>
      </w:r>
      <w:r>
        <w:rPr>
          <w:rFonts w:hint="default" w:ascii="Times New Roman" w:hAnsi="Times New Roman" w:eastAsia="楷体_GB2312" w:cs="Times New Roman"/>
          <w:szCs w:val="32"/>
        </w:rPr>
        <w:t>2009</w:t>
      </w:r>
      <w:r>
        <w:rPr>
          <w:rFonts w:hint="eastAsia" w:ascii="楷体_GB2312" w:hAnsi="Arial" w:eastAsia="楷体_GB2312" w:cs="Arial"/>
          <w:szCs w:val="32"/>
        </w:rPr>
        <w:t>年</w:t>
      </w:r>
      <w:r>
        <w:rPr>
          <w:rFonts w:hint="default" w:ascii="Times New Roman" w:hAnsi="Times New Roman" w:eastAsia="楷体_GB2312" w:cs="Times New Roman"/>
          <w:szCs w:val="32"/>
        </w:rPr>
        <w:t>8</w:t>
      </w:r>
      <w:r>
        <w:rPr>
          <w:rFonts w:hint="eastAsia" w:ascii="楷体_GB2312" w:hAnsi="Arial" w:eastAsia="楷体_GB2312" w:cs="Arial"/>
          <w:szCs w:val="32"/>
        </w:rPr>
        <w:t>月</w:t>
      </w:r>
      <w:r>
        <w:rPr>
          <w:rFonts w:hint="default" w:ascii="Times New Roman" w:hAnsi="Times New Roman" w:eastAsia="楷体_GB2312" w:cs="Times New Roman"/>
          <w:szCs w:val="32"/>
        </w:rPr>
        <w:t>27</w:t>
      </w:r>
      <w:r>
        <w:rPr>
          <w:rFonts w:hint="eastAsia" w:ascii="楷体_GB2312" w:hAnsi="Arial" w:eastAsia="楷体_GB2312" w:cs="Arial"/>
          <w:szCs w:val="32"/>
        </w:rPr>
        <w:t>日</w:t>
      </w:r>
      <w:bookmarkStart w:id="3" w:name="_GoBack"/>
      <w:bookmarkEnd w:id="3"/>
      <w:r>
        <w:rPr>
          <w:rFonts w:hint="eastAsia" w:ascii="楷体_GB2312" w:hAnsi="Arial" w:eastAsia="楷体_GB2312" w:cs="Arial"/>
          <w:szCs w:val="32"/>
        </w:rPr>
        <w:t>第十一届全国人民代表大会常务委员会第十次会议《关于修改部分法律的决定》修正）</w:t>
      </w:r>
      <w:bookmarkEnd w:id="2"/>
    </w:p>
    <w:p>
      <w:pPr>
        <w:spacing w:line="240" w:lineRule="auto"/>
        <w:ind w:firstLine="0"/>
        <w:jc w:val="both"/>
        <w:rPr>
          <w:rFonts w:hint="eastAsia" w:ascii="宋体" w:hAnsi="宋体" w:eastAsia="宋体" w:cs="宋体"/>
        </w:rPr>
      </w:pPr>
    </w:p>
    <w:p>
      <w:pPr>
        <w:spacing w:line="240" w:lineRule="auto"/>
        <w:ind w:firstLine="640"/>
        <w:jc w:val="both"/>
      </w:pPr>
      <w:r>
        <w:rPr>
          <w:rFonts w:ascii="仿宋_GB2312" w:hAnsi="仿宋_GB2312" w:eastAsia="仿宋_GB2312" w:cs="仿宋_GB2312"/>
          <w:sz w:val="32"/>
        </w:rPr>
        <w:t>为了惩治走私、制作、贩卖、传播淫秽的书刊、影片、录像带、录音带、图片或者其他淫秽物品的犯罪分子，维护社会治安秩序，加强社会主义精神文明建设，抵制资产阶级腐朽思想的侵蚀，特作如下决定：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一</w:t>
      </w:r>
      <w:r>
        <w:rPr>
          <w:rFonts w:hint="eastAsia" w:ascii="仿宋_GB2312" w:hAnsi="仿宋_GB2312" w:cs="仿宋_GB2312"/>
          <w:sz w:val="32"/>
          <w:lang w:eastAsia="zh-CN"/>
        </w:rPr>
        <w:t>、</w:t>
      </w:r>
      <w:r>
        <w:rPr>
          <w:rFonts w:ascii="仿宋_GB2312" w:hAnsi="仿宋_GB2312" w:eastAsia="仿宋_GB2312" w:cs="仿宋_GB2312"/>
          <w:sz w:val="32"/>
        </w:rPr>
        <w:t>以牟利或者传播为目的，走私淫秽物品的，依照关于惩治走私罪的补充规定处罚。不是为了牟利、传播，携带、邮寄少量淫秽物品进出境的，依照海关法的有关规定处罚。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二</w:t>
      </w:r>
      <w:r>
        <w:rPr>
          <w:rFonts w:hint="eastAsia" w:ascii="仿宋_GB2312" w:hAnsi="仿宋_GB2312" w:cs="仿宋_GB2312"/>
          <w:sz w:val="32"/>
          <w:lang w:eastAsia="zh-CN"/>
        </w:rPr>
        <w:t>、</w:t>
      </w:r>
      <w:r>
        <w:rPr>
          <w:rFonts w:ascii="仿宋_GB2312" w:hAnsi="仿宋_GB2312" w:eastAsia="仿宋_GB2312" w:cs="仿宋_GB2312"/>
          <w:sz w:val="32"/>
        </w:rPr>
        <w:t>以牟利为目的，制作、复制、出版、贩卖、传播淫秽物品的，处三年以下有期徒刑或者拘役，并处罚金；情节严重的，处三年以上十年以下有期徒刑，并处罚金；情节特别严重的，处十年以上有期徒刑或者无期徒刑，并处罚金或者没收财产。情节较轻的，由公安机关依照治安管理处罚法的有关规定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为他人提供书号，出版淫秽书刊的，处三年以下有期徒刑或者拘役，并处或者单处罚金；明知他人用于出版淫秽书刊而提供书号的，依照前款的规定处罚。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三</w:t>
      </w:r>
      <w:r>
        <w:rPr>
          <w:rFonts w:hint="eastAsia" w:ascii="仿宋_GB2312" w:hAnsi="仿宋_GB2312" w:cs="仿宋_GB2312"/>
          <w:sz w:val="32"/>
          <w:lang w:eastAsia="zh-CN"/>
        </w:rPr>
        <w:t>、</w:t>
      </w:r>
      <w:r>
        <w:rPr>
          <w:rFonts w:ascii="仿宋_GB2312" w:hAnsi="仿宋_GB2312" w:eastAsia="仿宋_GB2312" w:cs="仿宋_GB2312"/>
          <w:sz w:val="32"/>
        </w:rPr>
        <w:t>在社会上传播淫秽的书刊、影片、录像带、录音带、图片或者其他淫秽物品，情节严重的，处二年以下有期徒刑或者拘役。情节较轻的，由公安机关依照治安管理处罚法的有关规定处罚。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组织播放淫秽的电影、录像等音像制品的，处三年以下有期徒刑或者拘役，可以并处罚金；情节严重的，处三年以上十年以下有期徒刑，并处罚金。情节较轻的，由公安机关依照治安管理处罚法的有关规定处罚。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制作、复制淫秽的电影、录像等音像制品组织播放的，依照第二款的规定从重处罚。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向不满十八岁的未成年人传播淫秽物品的，从重处罚。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不满十六岁的未成年人传抄、传看淫秽的图片、书刊或者其他淫秽物品的，家长、学校应当加强管教。</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四</w:t>
      </w:r>
      <w:r>
        <w:rPr>
          <w:rFonts w:hint="eastAsia" w:ascii="仿宋_GB2312" w:hAnsi="仿宋_GB2312" w:cs="仿宋_GB2312"/>
          <w:sz w:val="32"/>
          <w:lang w:eastAsia="zh-CN"/>
        </w:rPr>
        <w:t>、</w:t>
      </w:r>
      <w:r>
        <w:rPr>
          <w:rFonts w:ascii="仿宋_GB2312" w:hAnsi="仿宋_GB2312" w:eastAsia="仿宋_GB2312" w:cs="仿宋_GB2312"/>
          <w:sz w:val="32"/>
        </w:rPr>
        <w:t>利用淫秽物品进行流氓犯罪的，依照刑法第一百六十条的规定处罚；流氓犯罪集团的首要分子，或者进行流氓犯罪活动危害特别严重的，依照关于严惩严重危害社会治安的犯罪分子的决定第一条的规定，可以在刑法规定的最高刑以上处刑，直至判处死刑。</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利用淫秽物品传授犯罪方法的，依照关于严惩严重危害社会治安的犯罪分子的决定第二条的规定处罚，情节特别严重的，处无期徒刑或者死刑。</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五</w:t>
      </w:r>
      <w:r>
        <w:rPr>
          <w:rFonts w:hint="eastAsia" w:ascii="仿宋_GB2312" w:hAnsi="仿宋_GB2312" w:cs="仿宋_GB2312"/>
          <w:sz w:val="32"/>
          <w:lang w:eastAsia="zh-CN"/>
        </w:rPr>
        <w:t>、</w:t>
      </w:r>
      <w:r>
        <w:rPr>
          <w:rFonts w:ascii="仿宋_GB2312" w:hAnsi="仿宋_GB2312" w:eastAsia="仿宋_GB2312" w:cs="仿宋_GB2312"/>
          <w:sz w:val="32"/>
        </w:rPr>
        <w:t>单位有本决定第一条、第二条、第三条规定的违法犯罪行为的，对其直接负责的主管人员和其他直接责任人员，依照各该条的规定处罚，对单位判处罚金或者予以罚款，行政主管部门并可以责令停业整顿或者吊销执照。</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六</w:t>
      </w:r>
      <w:r>
        <w:rPr>
          <w:rFonts w:hint="eastAsia" w:ascii="仿宋_GB2312" w:hAnsi="仿宋_GB2312" w:cs="仿宋_GB2312"/>
          <w:sz w:val="32"/>
          <w:lang w:eastAsia="zh-CN"/>
        </w:rPr>
        <w:t>、</w:t>
      </w:r>
      <w:r>
        <w:rPr>
          <w:rFonts w:ascii="仿宋_GB2312" w:hAnsi="仿宋_GB2312" w:eastAsia="仿宋_GB2312" w:cs="仿宋_GB2312"/>
          <w:sz w:val="32"/>
        </w:rPr>
        <w:t>有下列情节之一的，依照本决定有关规定从重处罚：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（一）犯罪集团的首要分子；</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（二）国家工作人员利用工作职务便利，走私、制作、复制、出版、贩卖、传播淫秽物品的；</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（三）管理录像、照像、复印等设备的人员，利用所管理的设备，犯有本决定第二条、第三条、第四条规定的违法犯罪行为的；</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（四）成年人教唆不满十八岁的未成年人走私、制作、复制、贩卖、传播淫秽物品的。</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七</w:t>
      </w:r>
      <w:r>
        <w:rPr>
          <w:rFonts w:hint="eastAsia" w:ascii="仿宋_GB2312" w:hAnsi="仿宋_GB2312" w:cs="仿宋_GB2312"/>
          <w:sz w:val="32"/>
          <w:lang w:eastAsia="zh-CN"/>
        </w:rPr>
        <w:t>、</w:t>
      </w:r>
      <w:r>
        <w:rPr>
          <w:rFonts w:ascii="仿宋_GB2312" w:hAnsi="仿宋_GB2312" w:eastAsia="仿宋_GB2312" w:cs="仿宋_GB2312"/>
          <w:sz w:val="32"/>
        </w:rPr>
        <w:t>淫秽物品和走私、制作、复制、出版、贩卖、传播淫秽物品的违法所得以及属于本人所有的犯罪工具，予以没收。没收的淫秽物品，按照国家规定销毁。罚没收入一律上缴国库。</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八</w:t>
      </w:r>
      <w:r>
        <w:rPr>
          <w:rFonts w:hint="eastAsia" w:ascii="仿宋_GB2312" w:hAnsi="仿宋_GB2312" w:cs="仿宋_GB2312"/>
          <w:sz w:val="32"/>
          <w:lang w:eastAsia="zh-CN"/>
        </w:rPr>
        <w:t>、</w:t>
      </w:r>
      <w:r>
        <w:rPr>
          <w:rFonts w:ascii="仿宋_GB2312" w:hAnsi="仿宋_GB2312" w:eastAsia="仿宋_GB2312" w:cs="仿宋_GB2312"/>
          <w:sz w:val="32"/>
        </w:rPr>
        <w:t>本决定所称淫秽物品，是指具体描绘性行为或者露骨宣扬色情的诲淫性的书刊、影片、录像带、录音带、图片及其他淫秽物品。</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有关人体生理、医学知识的科学著作不是淫秽物品。</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包含有色情内容的有艺术价值的文学、艺术作品不视为淫秽物品。</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淫秽物品的种类和目录，由国务院有关主管部门规定。</w:t>
      </w:r>
    </w:p>
    <w:p>
      <w:pPr>
        <w:spacing w:line="240" w:lineRule="auto"/>
        <w:ind w:firstLine="640"/>
        <w:jc w:val="both"/>
      </w:pPr>
      <w:r>
        <w:rPr>
          <w:rFonts w:ascii="仿宋_GB2312" w:hAnsi="仿宋_GB2312" w:eastAsia="仿宋_GB2312" w:cs="仿宋_GB2312"/>
          <w:sz w:val="32"/>
        </w:rPr>
        <w:t>九</w:t>
      </w:r>
      <w:r>
        <w:rPr>
          <w:rFonts w:hint="eastAsia" w:ascii="仿宋_GB2312" w:hAnsi="仿宋_GB2312" w:cs="仿宋_GB2312"/>
          <w:sz w:val="32"/>
          <w:lang w:eastAsia="zh-CN"/>
        </w:rPr>
        <w:t>、</w:t>
      </w:r>
      <w:r>
        <w:rPr>
          <w:rFonts w:ascii="仿宋_GB2312" w:hAnsi="仿宋_GB2312" w:eastAsia="仿宋_GB2312" w:cs="仿宋_GB2312"/>
          <w:sz w:val="32"/>
        </w:rPr>
        <w:t>本决定自公布之日起施行。</w:t>
      </w:r>
    </w:p>
    <w:sectPr>
      <w:footerReference r:id="rId3" w:type="default"/>
      <w:footerReference r:id="rId4" w:type="even"/>
      <w:pgSz w:w="11906" w:h="16838"/>
      <w:pgMar w:top="2098" w:right="1474" w:bottom="1985" w:left="1588" w:header="851" w:footer="397"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140" w:firstLineChars="50"/>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703F"/>
    <w:rsid w:val="00005CBA"/>
    <w:rsid w:val="00067A46"/>
    <w:rsid w:val="000B3473"/>
    <w:rsid w:val="000D062B"/>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38C0F7B"/>
    <w:rsid w:val="48D32164"/>
  </w:rsids>
  <m:mathPr>
    <m:mathFont m:val="Cambria Math"/>
    <m:brkBin m:val="before"/>
    <m:brkBinSub m:val="--"/>
    <m:smallFrac m:val="0"/>
    <m:dispDef/>
    <m:lMargin m:val="0"/>
    <m:rMargin m:val="0"/>
    <m:defJc m:val="centerGroup"/>
    <m:wrapIndent m:val="1440"/>
    <m:intLim m:val="subSup"/>
    <m:naryLim m:val="undOvr"/>
    <m:wrapRight m:val="1"/>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semiHidden/>
    <w:unhideWhenUsed/>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眉 字符"/>
    <w:link w:val="3"/>
    <w:qFormat/>
    <w:uiPriority w:val="99"/>
    <w:rPr>
      <w:sz w:val="18"/>
      <w:szCs w:val="18"/>
    </w:rPr>
  </w:style>
  <w:style w:type="character" w:customStyle="1" w:styleId="9">
    <w:name w:val="页脚 字符"/>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8310C3-B722-4579-B2B8-B4636D6515FD}">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47</Characters>
  <Lines>1</Lines>
  <Paragraphs>1</Paragraphs>
  <TotalTime>15</TotalTime>
  <ScaleCrop>false</ScaleCrop>
  <LinksUpToDate>false</LinksUpToDate>
  <CharactersWithSpaces>54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PC122</cp:lastModifiedBy>
  <dcterms:modified xsi:type="dcterms:W3CDTF">2021-02-02T01:45:19Z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