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8E" w:rsidRDefault="00586F65" w:rsidP="00586F65">
      <w:pPr>
        <w:spacing w:line="500" w:lineRule="exact"/>
        <w:jc w:val="center"/>
        <w:rPr>
          <w:rFonts w:ascii="微软雅黑" w:eastAsia="微软雅黑" w:hAnsi="微软雅黑" w:cs="Arial" w:hint="eastAsia"/>
          <w:b/>
          <w:bCs/>
          <w:color w:val="FF0000"/>
          <w:sz w:val="40"/>
          <w:szCs w:val="40"/>
        </w:rPr>
      </w:pPr>
      <w:bookmarkStart w:id="0" w:name="Title"/>
      <w:r w:rsidRPr="00586F65">
        <w:rPr>
          <w:rFonts w:ascii="微软雅黑" w:eastAsia="微软雅黑" w:hAnsi="微软雅黑" w:cs="Arial"/>
          <w:b/>
          <w:bCs/>
          <w:color w:val="FF0000"/>
          <w:sz w:val="40"/>
          <w:szCs w:val="40"/>
        </w:rPr>
        <w:t>《</w:t>
      </w:r>
      <w:r w:rsidR="00B45B9B" w:rsidRPr="00586F65">
        <w:rPr>
          <w:rFonts w:ascii="微软雅黑" w:eastAsia="微软雅黑" w:hAnsi="微软雅黑" w:cs="Arial"/>
          <w:b/>
          <w:bCs/>
          <w:color w:val="FF0000"/>
          <w:sz w:val="40"/>
          <w:szCs w:val="40"/>
        </w:rPr>
        <w:t>中华人民共和国公职人员政务处分法</w:t>
      </w:r>
      <w:bookmarkEnd w:id="0"/>
      <w:r w:rsidRPr="00586F65">
        <w:rPr>
          <w:rFonts w:ascii="微软雅黑" w:eastAsia="微软雅黑" w:hAnsi="微软雅黑" w:cs="Arial"/>
          <w:b/>
          <w:bCs/>
          <w:color w:val="FF0000"/>
          <w:sz w:val="40"/>
          <w:szCs w:val="40"/>
        </w:rPr>
        <w:t>》</w:t>
      </w:r>
    </w:p>
    <w:p w:rsidR="00586F65" w:rsidRPr="00586F65" w:rsidRDefault="00586F65" w:rsidP="00586F65">
      <w:pPr>
        <w:spacing w:line="500" w:lineRule="exact"/>
        <w:jc w:val="center"/>
        <w:rPr>
          <w:rFonts w:ascii="微软雅黑" w:eastAsia="微软雅黑" w:hAnsi="微软雅黑" w:cs="Arial"/>
          <w:bCs/>
          <w:sz w:val="24"/>
        </w:rPr>
      </w:pPr>
      <w:r w:rsidRPr="00586F65">
        <w:rPr>
          <w:rFonts w:ascii="微软雅黑" w:eastAsia="微软雅黑" w:hAnsi="微软雅黑" w:cs="Arial" w:hint="eastAsia"/>
          <w:bCs/>
          <w:sz w:val="24"/>
        </w:rPr>
        <w:t>2020-07-01</w:t>
      </w:r>
    </w:p>
    <w:p w:rsidR="0092168E" w:rsidRPr="00586F65" w:rsidRDefault="0092168E" w:rsidP="00586F65">
      <w:pPr>
        <w:spacing w:line="240" w:lineRule="exact"/>
        <w:ind w:firstLineChars="200" w:firstLine="392"/>
        <w:rPr>
          <w:rFonts w:ascii="微软雅黑" w:eastAsia="微软雅黑" w:hAnsi="微软雅黑" w:cs="Arial"/>
          <w:sz w:val="20"/>
          <w:szCs w:val="20"/>
        </w:rPr>
      </w:pPr>
      <w:bookmarkStart w:id="1" w:name="_GoBack"/>
      <w:bookmarkEnd w:id="1"/>
    </w:p>
    <w:p w:rsidR="0092168E" w:rsidRPr="00586F65" w:rsidRDefault="00B45B9B" w:rsidP="00586F65">
      <w:pPr>
        <w:spacing w:line="240" w:lineRule="exact"/>
        <w:ind w:leftChars="200" w:left="632" w:rightChars="200" w:right="632"/>
        <w:jc w:val="center"/>
        <w:rPr>
          <w:rFonts w:ascii="微软雅黑" w:eastAsia="微软雅黑" w:hAnsi="微软雅黑"/>
          <w:color w:val="00B050"/>
          <w:sz w:val="20"/>
          <w:szCs w:val="20"/>
        </w:rPr>
      </w:pPr>
      <w:r w:rsidRPr="00586F65">
        <w:rPr>
          <w:rFonts w:ascii="微软雅黑" w:eastAsia="微软雅黑" w:hAnsi="微软雅黑" w:cs="Arial" w:hint="eastAsia"/>
          <w:color w:val="00B050"/>
          <w:sz w:val="20"/>
          <w:szCs w:val="20"/>
        </w:rPr>
        <w:t>（</w:t>
      </w:r>
      <w:bookmarkStart w:id="2" w:name="TitleDescription"/>
      <w:r w:rsidRPr="00586F65">
        <w:rPr>
          <w:rFonts w:ascii="微软雅黑" w:eastAsia="微软雅黑" w:hAnsi="微软雅黑"/>
          <w:color w:val="00B050"/>
          <w:sz w:val="20"/>
          <w:szCs w:val="20"/>
        </w:rPr>
        <w:t>2020</w:t>
      </w:r>
      <w:r w:rsidRPr="00586F65">
        <w:rPr>
          <w:rFonts w:ascii="微软雅黑" w:eastAsia="微软雅黑" w:hAnsi="微软雅黑" w:hint="eastAsia"/>
          <w:color w:val="00B050"/>
          <w:sz w:val="20"/>
          <w:szCs w:val="20"/>
        </w:rPr>
        <w:t>年</w:t>
      </w:r>
      <w:r w:rsidRPr="00586F65">
        <w:rPr>
          <w:rFonts w:ascii="微软雅黑" w:eastAsia="微软雅黑" w:hAnsi="微软雅黑"/>
          <w:color w:val="00B050"/>
          <w:sz w:val="20"/>
          <w:szCs w:val="20"/>
        </w:rPr>
        <w:t>6</w:t>
      </w:r>
      <w:r w:rsidRPr="00586F65">
        <w:rPr>
          <w:rFonts w:ascii="微软雅黑" w:eastAsia="微软雅黑" w:hAnsi="微软雅黑" w:hint="eastAsia"/>
          <w:color w:val="00B050"/>
          <w:sz w:val="20"/>
          <w:szCs w:val="20"/>
        </w:rPr>
        <w:t>月</w:t>
      </w:r>
      <w:r w:rsidRPr="00586F65">
        <w:rPr>
          <w:rFonts w:ascii="微软雅黑" w:eastAsia="微软雅黑" w:hAnsi="微软雅黑"/>
          <w:color w:val="00B050"/>
          <w:sz w:val="20"/>
          <w:szCs w:val="20"/>
        </w:rPr>
        <w:t>20</w:t>
      </w:r>
      <w:r w:rsidRPr="00586F65">
        <w:rPr>
          <w:rFonts w:ascii="微软雅黑" w:eastAsia="微软雅黑" w:hAnsi="微软雅黑" w:hint="eastAsia"/>
          <w:color w:val="00B050"/>
          <w:sz w:val="20"/>
          <w:szCs w:val="20"/>
        </w:rPr>
        <w:t>日第十三届全国人民代表大会常务委员会第十九次会议通过</w:t>
      </w:r>
      <w:bookmarkEnd w:id="2"/>
      <w:r w:rsidRPr="00586F65">
        <w:rPr>
          <w:rFonts w:ascii="微软雅黑" w:eastAsia="微软雅黑" w:hAnsi="微软雅黑" w:cs="Arial" w:hint="eastAsia"/>
          <w:color w:val="00B050"/>
          <w:sz w:val="20"/>
          <w:szCs w:val="20"/>
        </w:rPr>
        <w:t>）</w:t>
      </w:r>
    </w:p>
    <w:p w:rsidR="0092168E" w:rsidRPr="00586F65" w:rsidRDefault="00B45B9B" w:rsidP="00586F65">
      <w:pPr>
        <w:spacing w:line="240" w:lineRule="exact"/>
        <w:rPr>
          <w:rFonts w:ascii="微软雅黑" w:eastAsia="微软雅黑" w:hAnsi="微软雅黑"/>
          <w:sz w:val="20"/>
          <w:szCs w:val="20"/>
        </w:rPr>
      </w:pPr>
      <w:r w:rsidRPr="00586F65">
        <w:rPr>
          <w:rFonts w:ascii="微软雅黑" w:eastAsia="微软雅黑" w:hAnsi="微软雅黑" w:cs="宋体"/>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楷体_GB2312"/>
          <w:b/>
          <w:sz w:val="20"/>
          <w:szCs w:val="20"/>
        </w:rPr>
        <w:t>目</w:t>
      </w:r>
      <w:r w:rsidRPr="00586F65">
        <w:rPr>
          <w:rFonts w:ascii="微软雅黑" w:eastAsia="微软雅黑" w:hAnsi="微软雅黑" w:cs="楷体_GB2312" w:hint="eastAsia"/>
          <w:b/>
          <w:sz w:val="20"/>
          <w:szCs w:val="20"/>
        </w:rPr>
        <w:t xml:space="preserve">　　</w:t>
      </w:r>
      <w:r w:rsidRPr="00586F65">
        <w:rPr>
          <w:rFonts w:ascii="微软雅黑" w:eastAsia="微软雅黑" w:hAnsi="微软雅黑" w:cs="楷体_GB2312"/>
          <w:b/>
          <w:sz w:val="20"/>
          <w:szCs w:val="20"/>
        </w:rPr>
        <w:t>录</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第一</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总　　则</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第二</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政务处分的种类和适用</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第三</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违法行为及其适用的政务处分</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第四</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政务处分的程序</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第五</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复审、复核</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第六</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法律责任</w:t>
      </w:r>
      <w:r w:rsidR="00586F65">
        <w:rPr>
          <w:rFonts w:ascii="微软雅黑" w:eastAsia="微软雅黑" w:hAnsi="微软雅黑" w:cs="楷体_GB2312" w:hint="eastAsia"/>
          <w:b/>
          <w:color w:val="7030A0"/>
          <w:sz w:val="20"/>
          <w:szCs w:val="20"/>
        </w:rPr>
        <w:t xml:space="preserve"> -----------------------------------------------------------------------------------------------</w:t>
      </w:r>
    </w:p>
    <w:p w:rsidR="0092168E" w:rsidRPr="00117B9F" w:rsidRDefault="00B45B9B" w:rsidP="00117B9F">
      <w:pPr>
        <w:spacing w:line="240" w:lineRule="exact"/>
        <w:ind w:firstLine="640"/>
        <w:rPr>
          <w:rFonts w:ascii="微软雅黑" w:eastAsia="微软雅黑" w:hAnsi="微软雅黑"/>
          <w:b/>
          <w:color w:val="7030A0"/>
          <w:sz w:val="20"/>
          <w:szCs w:val="20"/>
        </w:rPr>
      </w:pPr>
      <w:r w:rsidRPr="00586F65">
        <w:rPr>
          <w:rFonts w:ascii="微软雅黑" w:eastAsia="微软雅黑" w:hAnsi="微软雅黑" w:cs="楷体_GB2312"/>
          <w:b/>
          <w:color w:val="7030A0"/>
          <w:sz w:val="20"/>
          <w:szCs w:val="20"/>
        </w:rPr>
        <w:t>第七</w:t>
      </w:r>
      <w:r w:rsidRPr="00586F65">
        <w:rPr>
          <w:rFonts w:ascii="微软雅黑" w:eastAsia="微软雅黑" w:hAnsi="微软雅黑" w:cs="楷体_GB2312" w:hint="eastAsia"/>
          <w:b/>
          <w:color w:val="7030A0"/>
          <w:sz w:val="20"/>
          <w:szCs w:val="20"/>
        </w:rPr>
        <w:t xml:space="preserve">章　</w:t>
      </w:r>
      <w:r w:rsidRPr="00586F65">
        <w:rPr>
          <w:rFonts w:ascii="微软雅黑" w:eastAsia="微软雅黑" w:hAnsi="微软雅黑" w:cs="楷体_GB2312"/>
          <w:b/>
          <w:color w:val="7030A0"/>
          <w:sz w:val="20"/>
          <w:szCs w:val="20"/>
        </w:rPr>
        <w:t>附　　则</w:t>
      </w:r>
      <w:r w:rsidR="00586F65">
        <w:rPr>
          <w:rFonts w:ascii="微软雅黑" w:eastAsia="微软雅黑" w:hAnsi="微软雅黑" w:cs="楷体_GB2312" w:hint="eastAsia"/>
          <w:b/>
          <w:color w:val="7030A0"/>
          <w:sz w:val="20"/>
          <w:szCs w:val="20"/>
        </w:rPr>
        <w:t xml:space="preserve"> -----------------------------------------------------------------------------------------------</w:t>
      </w:r>
    </w:p>
    <w:p w:rsidR="0092168E" w:rsidRPr="00586F65" w:rsidRDefault="00B45B9B" w:rsidP="00586F65">
      <w:pPr>
        <w:spacing w:line="240" w:lineRule="exact"/>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第一</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总　　则</w:t>
      </w:r>
    </w:p>
    <w:p w:rsidR="0092168E" w:rsidRPr="00586F65" w:rsidRDefault="00B45B9B" w:rsidP="00586F65">
      <w:pPr>
        <w:spacing w:line="240" w:lineRule="exact"/>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为了规范政务处分，加强对所有行使公权力的公职人员的监督，促进公职人员依法履职、</w:t>
      </w:r>
      <w:proofErr w:type="gramStart"/>
      <w:r w:rsidRPr="00586F65">
        <w:rPr>
          <w:rFonts w:ascii="微软雅黑" w:eastAsia="微软雅黑" w:hAnsi="微软雅黑" w:cs="仿宋_GB2312"/>
          <w:sz w:val="20"/>
          <w:szCs w:val="20"/>
        </w:rPr>
        <w:t>秉</w:t>
      </w:r>
      <w:proofErr w:type="gramEnd"/>
      <w:r w:rsidRPr="00586F65">
        <w:rPr>
          <w:rFonts w:ascii="微软雅黑" w:eastAsia="微软雅黑" w:hAnsi="微软雅黑" w:cs="仿宋_GB2312"/>
          <w:sz w:val="20"/>
          <w:szCs w:val="20"/>
        </w:rPr>
        <w:t>公用权、廉洁从政从业、坚持道德操守，根据《中华人民共和国监察法》，制定本法。</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本法适用于监察机关对违法的公职人员给予政务处分的活动。</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本法第二章、第三章适用于公职人员任免机关、单位对违法的公职人员给予处分。处分的程序、申诉等适用其他法律、行政法规、国务院部门规章和国家有关规定。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本法所称公职人员，是指《中华人民共和国监察法》第十五条规定的人员。</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监察机关应当按照管理权限，加强对公职人员的监督，依法给予违法的公职人员政务处分。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公职人员任免机关、单位应当按照管理权限，加强对公职人员的教育、管理、监督，依法给予违法的公职人员处分。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监察机关发现公职人员任免机关、单位应当给予处分而</w:t>
      </w:r>
      <w:r w:rsidRPr="00586F65">
        <w:rPr>
          <w:rFonts w:ascii="微软雅黑" w:eastAsia="微软雅黑" w:hAnsi="微软雅黑" w:cs="仿宋_GB2312"/>
          <w:sz w:val="20"/>
          <w:szCs w:val="20"/>
        </w:rPr>
        <w:t>未给予，或者给予的处分违法、不当的，应当及时提出监察建议。</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给予公职人员政务处分，坚持党管干部原则，集体讨论决定；坚持法律面前一律平等，以事实为根据，以法律为准绳，给予的政务处分与违法行为的性质、情节、危害程度相当；坚持惩戒与教育相结合，宽严相济。</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给予公职人员政务处分，应当事实清楚、证据确凿、定性准确、处理恰当、程序合法、手续完备。</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公职人员依法履行职责受法律保护，非因法定事由、非经法定程序，不受政务处分。</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第二</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政务处分的种类和适用</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政务处分的种类为：</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（一）警告；</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（二）记过；</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（三）记大过；</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（四）降级；</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政务处分的期间为：</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（一）警告，六个月；</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（二）记过，十二个月；</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（三）记大过，十八个月；</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（四）降级、撤职，二十四个月。</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政务处分决定自</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之日起生效，政务处分期自政务处分决定生效之日起计算。</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公职人员二人以上共同违法，根据各自在违法行为中所起的作用和应当承担的法律责任，分别给予政务处分。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有关机关、单位、组织集体</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的决定违法或者实施违法行为的，对负有责任的领导人员和直接责任人员中的公职人员依法给予政务处分。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公职人员有下列情形之一的，可以从轻或者减轻给予政务处分：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（一）主动交代本人应当受到政务处分的违法行为的；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（二）配合调查，如实说明本人违法事实的；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（三）检举他人违纪违法行为，经查证属实的；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（四）主动采取措施，有效避免、挽回损失或者消除不良影响的；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（五）在共同违法行为中起次要或者辅助作用的；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（六）主动上交或者退赔违法所得的；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（七）法律、法规规定的其他从轻或者减轻情节。</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公职人员违法行为情节轻微，且具有本法第十一条规定的情形之一的，可以对其进行谈话提醒、批评教育、责令检查或者予以诫勉，免予或者不予政务处分。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公职人员因不明真相被裹挟或者被胁迫参与违法活动，经批评教育后确有悔改表现的，可以减轻、免予或者不予政务处分。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lastRenderedPageBreak/>
        <w:t>第十三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公职人员有下列情形之一的，应当从重给予政务处分：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（一）在政务处</w:t>
      </w:r>
      <w:proofErr w:type="gramStart"/>
      <w:r w:rsidRPr="00586F65">
        <w:rPr>
          <w:rFonts w:ascii="微软雅黑" w:eastAsia="微软雅黑" w:hAnsi="微软雅黑" w:cs="仿宋_GB2312"/>
          <w:sz w:val="20"/>
          <w:szCs w:val="20"/>
        </w:rPr>
        <w:t>分期内</w:t>
      </w:r>
      <w:proofErr w:type="gramEnd"/>
      <w:r w:rsidRPr="00586F65">
        <w:rPr>
          <w:rFonts w:ascii="微软雅黑" w:eastAsia="微软雅黑" w:hAnsi="微软雅黑" w:cs="仿宋_GB2312"/>
          <w:sz w:val="20"/>
          <w:szCs w:val="20"/>
        </w:rPr>
        <w:t>再次故意违法，应当受到政务处分的；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（二）阻止他人检举、提供证据的；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（三）串供或者伪造、隐匿、毁灭证据的；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（四）包庇同案人</w:t>
      </w:r>
      <w:r w:rsidRPr="00586F65">
        <w:rPr>
          <w:rFonts w:ascii="微软雅黑" w:eastAsia="微软雅黑" w:hAnsi="微软雅黑" w:cs="仿宋_GB2312"/>
          <w:sz w:val="20"/>
          <w:szCs w:val="20"/>
        </w:rPr>
        <w:t>员的；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（五）胁迫、唆使他人实施违法行为的；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（六）拒不上交或者退赔违法所得的；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（七）法律、法规规定的其他从重情节。</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公职人员犯罪，有下列情形之一的，予以开除：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（一）因故意犯罪被判处管制、拘役或者有期徒刑以上刑罚（含宣告缓刑）的；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（二）因过失犯罪被判处有期徒刑，刑期超过三年的；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（三）因犯罪被单处或者并处剥夺政治权利的。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因过失犯罪被判处管制、拘役或者三年以下有期徒刑的，一般应当予以开除；案件情况特殊，予以撤职更为适当的，可以不予开除，但是应当报请上一级机关批准。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公职人员因犯罪被单处罚金，</w:t>
      </w:r>
      <w:r w:rsidRPr="00586F65">
        <w:rPr>
          <w:rFonts w:ascii="微软雅黑" w:eastAsia="微软雅黑" w:hAnsi="微软雅黑" w:cs="仿宋_GB2312"/>
          <w:sz w:val="20"/>
          <w:szCs w:val="20"/>
        </w:rPr>
        <w:t>或者犯罪情节轻微，人民检察院依法</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不起诉决定或者人民法院依法免予刑事处罚的，予以撤职；造成不良影响的，予以开除。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对公职人员的同一违法行为，监察机关和公职人员任免机关、单位不得重复给予政务处分和处分。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公职人员有违法行为，有关机关依照规定给予组织处理的，监察机关可以同时给予政务处分。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担任领导职务的公职人员有违法行为，被罢免、撤销、免去或者辞去领导职务的，监察机关可以同时给予政务处分。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第十九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法律、法规授权或者受国家机关依法委托管理公共事务的组织中从事公务的人员，以</w:t>
      </w:r>
      <w:r w:rsidRPr="00586F65">
        <w:rPr>
          <w:rFonts w:ascii="微软雅黑" w:eastAsia="微软雅黑" w:hAnsi="微软雅黑" w:cs="仿宋_GB2312"/>
          <w:sz w:val="20"/>
          <w:szCs w:val="20"/>
        </w:rPr>
        <w:t>及公办的教育、科研、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sidRPr="00586F65">
        <w:rPr>
          <w:rFonts w:ascii="微软雅黑" w:eastAsia="微软雅黑" w:hAnsi="微软雅黑" w:cs="仿宋_GB2312"/>
          <w:sz w:val="20"/>
          <w:szCs w:val="20"/>
        </w:rPr>
        <w:t>酬</w:t>
      </w:r>
      <w:proofErr w:type="gramEnd"/>
      <w:r w:rsidRPr="00586F65">
        <w:rPr>
          <w:rFonts w:ascii="微软雅黑" w:eastAsia="微软雅黑" w:hAnsi="微软雅黑" w:cs="仿宋_GB2312"/>
          <w:sz w:val="20"/>
          <w:szCs w:val="20"/>
        </w:rPr>
        <w:t>待遇。</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国有企业管理人员在政务处分期内，不得晋升职务、岗位等级和职称；其中，被记过、记大过、降级、撤职的，不得晋升薪酬待遇等级。被撤职的，降低职务或者岗位等级，同时降低薪</w:t>
      </w:r>
      <w:proofErr w:type="gramStart"/>
      <w:r w:rsidRPr="00586F65">
        <w:rPr>
          <w:rFonts w:ascii="微软雅黑" w:eastAsia="微软雅黑" w:hAnsi="微软雅黑" w:cs="仿宋_GB2312"/>
          <w:sz w:val="20"/>
          <w:szCs w:val="20"/>
        </w:rPr>
        <w:t>酬</w:t>
      </w:r>
      <w:proofErr w:type="gramEnd"/>
      <w:r w:rsidRPr="00586F65">
        <w:rPr>
          <w:rFonts w:ascii="微软雅黑" w:eastAsia="微软雅黑" w:hAnsi="微软雅黑" w:cs="仿宋_GB2312"/>
          <w:sz w:val="20"/>
          <w:szCs w:val="20"/>
        </w:rPr>
        <w:t>待遇。</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基层群众性自治组织中从事管理的人员有违法行为的，监察机关可以予以警告、记过、记大过。</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基层群众性自治组织中从事管理的人员受到政务处分的，应当由县级或者乡镇人民政府根据具体情况减发或者扣发补贴、奖金。</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《中华人民共和国监察法》第十五条第六项规定的人员有违法行为的，监察机关可以予以警告、记过、记大过。情节严重的，由所在单位直接给予或者监察机关建议有关机关、单位给予降低薪</w:t>
      </w:r>
      <w:proofErr w:type="gramStart"/>
      <w:r w:rsidRPr="00586F65">
        <w:rPr>
          <w:rFonts w:ascii="微软雅黑" w:eastAsia="微软雅黑" w:hAnsi="微软雅黑" w:cs="仿宋_GB2312"/>
          <w:sz w:val="20"/>
          <w:szCs w:val="20"/>
        </w:rPr>
        <w:t>酬</w:t>
      </w:r>
      <w:proofErr w:type="gramEnd"/>
      <w:r w:rsidRPr="00586F65">
        <w:rPr>
          <w:rFonts w:ascii="微软雅黑" w:eastAsia="微软雅黑" w:hAnsi="微软雅黑" w:cs="仿宋_GB2312"/>
          <w:sz w:val="20"/>
          <w:szCs w:val="20"/>
        </w:rPr>
        <w:t>待遇、调离岗位、解除人事关系或者劳动关系等处理。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《中华人民共和国监察法》第十五条第二项规定的人员，未担任公务员、参照《中华人民共和国公务员法》管理的人员、事业单位工作人员或者国有企业人员职务的，对其违法行为依照前</w:t>
      </w:r>
      <w:r w:rsidRPr="00586F65">
        <w:rPr>
          <w:rFonts w:ascii="微软雅黑" w:eastAsia="微软雅黑" w:hAnsi="微软雅黑" w:cs="仿宋_GB2312"/>
          <w:sz w:val="20"/>
          <w:szCs w:val="20"/>
        </w:rPr>
        <w:t>款规定处理。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公职人员被开除，或者依照本法第二十三条规定，受到解除人事关系或者劳动关系处理的，不得录用为公务员以及参照《中华人民共和国公务员法》管理的人员。</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公职人员因违法行为获得的职务、职级、衔级、级别、岗位和职员等级、职称、待遇、资格、学历、学位、荣誉、奖励等其他利益，监察机关应当建议有关机关、单位、组织按规定予以纠正。</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公职人员被开除的，自政务处分决定生效之日起，应当解除其与所在机关、单位的人事关系或者劳动关系。</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公职人员受到开除以外的政务处分，在政务处</w:t>
      </w:r>
      <w:proofErr w:type="gramStart"/>
      <w:r w:rsidRPr="00586F65">
        <w:rPr>
          <w:rFonts w:ascii="微软雅黑" w:eastAsia="微软雅黑" w:hAnsi="微软雅黑" w:cs="仿宋_GB2312"/>
          <w:sz w:val="20"/>
          <w:szCs w:val="20"/>
        </w:rPr>
        <w:t>分期内</w:t>
      </w:r>
      <w:proofErr w:type="gramEnd"/>
      <w:r w:rsidRPr="00586F65">
        <w:rPr>
          <w:rFonts w:ascii="微软雅黑" w:eastAsia="微软雅黑" w:hAnsi="微软雅黑" w:cs="仿宋_GB2312"/>
          <w:sz w:val="20"/>
          <w:szCs w:val="20"/>
        </w:rPr>
        <w:t>有悔改表现，并且没有再发生应当给予政务处分的违法行为的，政务处分期满后自动解除，晋升职务、职级、衔级、级别、岗位和职员等级、职称、薪酬待遇不再受原政务处分影响。但是，解除降级、撤职的，不恢</w:t>
      </w:r>
      <w:r w:rsidRPr="00586F65">
        <w:rPr>
          <w:rFonts w:ascii="微软雅黑" w:eastAsia="微软雅黑" w:hAnsi="微软雅黑" w:cs="仿宋_GB2312"/>
          <w:sz w:val="20"/>
          <w:szCs w:val="20"/>
        </w:rPr>
        <w:t>复原职务、职级、衔级、级别、岗位和职员等级、职称、薪酬待遇。</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已经离职或者死亡的公职人员在履职期间有违法行为的，依照前款规定处理。</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第三</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违法行为及其适用的政务处分</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有下列行为之一的，予以记过或者记大过；情节较重的，予以降级或者撤职；情节严重的，予以</w:t>
      </w:r>
      <w:r w:rsidRPr="00586F65">
        <w:rPr>
          <w:rFonts w:ascii="微软雅黑" w:eastAsia="微软雅黑" w:hAnsi="微软雅黑" w:cs="仿宋_GB2312"/>
          <w:sz w:val="20"/>
          <w:szCs w:val="20"/>
        </w:rPr>
        <w:t>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（一）散布有损宪法权威、中国共产党领导和国家声誉的言论的；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（二）参加旨在反对宪法、中国共产党领导和国家的集会、游行、示威等活动的；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（三）拒不执行或者变相不执行中国共产党和国家的路线方针政策、重大决策部署的；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（四）参加非法组织、非法活动的；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lastRenderedPageBreak/>
        <w:t>（五）挑拨、破坏民族关系，或者参加民族分裂活动的；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（六）利用宗教活动破坏民族团结和社会稳定的；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（七）在对外交往中损害国家荣誉和利益的。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有前款第二项、第四项、第五项和第六项行为之一的，对策划者、组织者和骨干分子，予以开除。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公开发表反对宪法确立的国家指导思想，反对中国共产党领导，反对社会主义制度，反对改革开放的文章、演说、宣言、声明等的，予以开除。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第二十九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不按照规定请示、报告重大事项，情节较重的，予以警告、记过或者记大过；情节严重的，予以降级或者撤职。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违反个人有关事项报告规定，隐瞒不报，情节较重的，予以警告、记过或者记大过。</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篡改、伪造本人档案资料的，予以记过或者记大过；情节严重的，予以降级或者撤职。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有下列行为之一的，予以警告、记过或者记大过；情节严重的，予以降级或者撤职：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（一）违反民主集中制原则，个人或</w:t>
      </w:r>
      <w:r w:rsidRPr="00586F65">
        <w:rPr>
          <w:rFonts w:ascii="微软雅黑" w:eastAsia="微软雅黑" w:hAnsi="微软雅黑" w:cs="仿宋_GB2312"/>
          <w:sz w:val="20"/>
          <w:szCs w:val="20"/>
        </w:rPr>
        <w:t>者少数人决定重大事项，或者拒不执行、擅自改变集体</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的重大决定的；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（二）拒不执行或者变相不执行、拖延执行上级依法</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的决定、命令的。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违反规定出境或者办理因私出境证件的，予以记过或者记大过；情节严重的，予以降级或者撤职。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违反规定取得外国国籍或者获取境外永久居留资格、长期居留许可的，予以撤职或者开除。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00117B9F">
        <w:rPr>
          <w:rFonts w:ascii="微软雅黑" w:eastAsia="微软雅黑" w:hAnsi="微软雅黑" w:cs="仿宋_GB2312"/>
          <w:sz w:val="20"/>
          <w:szCs w:val="20"/>
        </w:rPr>
        <w:t>有下列行为之一的，予以警告、记过或记大过；情节较重的，予以降级或</w:t>
      </w:r>
      <w:r w:rsidRPr="00586F65">
        <w:rPr>
          <w:rFonts w:ascii="微软雅黑" w:eastAsia="微软雅黑" w:hAnsi="微软雅黑" w:cs="仿宋_GB2312"/>
          <w:sz w:val="20"/>
          <w:szCs w:val="20"/>
        </w:rPr>
        <w:t>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（一）在选拔任用、录用、聘用、考核、晋升、评选等干部人事工作中违反有关规定的；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（二）弄虚作假，骗取职务、职级、衔级、级别、岗位和职员等级、职称、待遇、资格、学历、学位、荣誉、奖励或者其他利益的；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（三）对依法行使批评、申诉、控告、检举等权利的行为进行压制或者打击报复的；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（四）诬告陷害，意图使他人受到名誉损害或者责任追究等不良影响的；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（五）以暴力、威胁、贿赂、欺骗等手段破坏选举的。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00117B9F">
        <w:rPr>
          <w:rFonts w:ascii="微软雅黑" w:eastAsia="微软雅黑" w:hAnsi="微软雅黑" w:cs="仿宋_GB2312"/>
          <w:sz w:val="20"/>
          <w:szCs w:val="20"/>
        </w:rPr>
        <w:t>有下列行为之一的，予以警告、记过或记大过；情节较重的，予以降级或</w:t>
      </w:r>
      <w:r w:rsidRPr="00586F65">
        <w:rPr>
          <w:rFonts w:ascii="微软雅黑" w:eastAsia="微软雅黑" w:hAnsi="微软雅黑" w:cs="仿宋_GB2312"/>
          <w:sz w:val="20"/>
          <w:szCs w:val="20"/>
        </w:rPr>
        <w:t>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（一）贪污贿赂的；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（二）利用职权或者职务上的影响为本人或者他人谋取私利的；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（三）纵容、默</w:t>
      </w:r>
      <w:r w:rsidRPr="00586F65">
        <w:rPr>
          <w:rFonts w:ascii="微软雅黑" w:eastAsia="微软雅黑" w:hAnsi="微软雅黑" w:cs="仿宋_GB2312"/>
          <w:sz w:val="20"/>
          <w:szCs w:val="20"/>
        </w:rPr>
        <w:t>许特定关系人利用本人职权或者职务上的影响谋取私利的。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拒不按照规定纠正特定关系人违规任职、兼职或者从事经营活动，且不服从职务调整的，予以撤职。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收受可能影响公正行使公权力的礼品、礼金、有价证券等财物的，予以警告、记过或者记大过；情节较重的，予以降级或者撤职；情节严重的，予以开除。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r w:rsidRPr="00586F65">
        <w:rPr>
          <w:rFonts w:ascii="微软雅黑" w:eastAsia="微软雅黑" w:hAnsi="微软雅黑" w:cs="仿宋_GB2312"/>
          <w:sz w:val="20"/>
          <w:szCs w:val="20"/>
        </w:rPr>
        <w:t>。</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有下列行为之一，情节较重的，予以警告、记过或者记大过；情节严重的，予以降级或者撤职：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（一）违反规定设定、发放薪酬或者津贴、补贴、奖金的；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（二）违反规定，在公务接待、公务交通、会议活动、办公用房以及其他工作生活保障等方面超标准、超范围的；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（三）违反规定公款消费的。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违反规定从事或者参与营利性活动，或者违反规定兼任职务、领取报酬的，予以警告、记过或者记大过；情节较重的，予以降级或者撤职；情节严重的，予以开除。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00117B9F">
        <w:rPr>
          <w:rFonts w:ascii="微软雅黑" w:eastAsia="微软雅黑" w:hAnsi="微软雅黑" w:cs="仿宋_GB2312"/>
          <w:sz w:val="20"/>
          <w:szCs w:val="20"/>
        </w:rPr>
        <w:t>利用宗族或</w:t>
      </w:r>
      <w:r w:rsidRPr="00586F65">
        <w:rPr>
          <w:rFonts w:ascii="微软雅黑" w:eastAsia="微软雅黑" w:hAnsi="微软雅黑" w:cs="仿宋_GB2312"/>
          <w:sz w:val="20"/>
          <w:szCs w:val="20"/>
        </w:rPr>
        <w:t>黑恶势力等欺压群众，或者纵容、包庇黑恶势力活</w:t>
      </w:r>
      <w:r w:rsidRPr="00586F65">
        <w:rPr>
          <w:rFonts w:ascii="微软雅黑" w:eastAsia="微软雅黑" w:hAnsi="微软雅黑" w:cs="仿宋_GB2312"/>
          <w:sz w:val="20"/>
          <w:szCs w:val="20"/>
        </w:rPr>
        <w:t>动的，予以撤职；情节严重的，予以开除。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有下列行为之一，情节较重的，予以警告、记过或者记大过；情节严重的，予以降级或者撤职：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（一）违反规定向管理服务对象收取、摊派财物的；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（二）在管理服务活动中故意刁难、吃拿卡要的；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（三）在管理服务活动中态度恶劣粗暴，造成不良后果或者影响的；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（四）不按照规定公开工作信息，侵犯管理服务对象知情权，造成不良后果或者影响的；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（五）其他侵犯管理服务对象利益的行为，造成不良后果或者影响的。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有前款第一项、第二项和第五项行为，情节特别严重的，予以开除。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第三十九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有下列行为之一，造成不良后果或者影响的，予以警告、记过或者记大过；情节较重的，予以降级或者撤职；情节严重的，予以开除：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（一）滥用职权，危害国家利益、社会公共利益或者侵害公民、法人、其他组织合法权益的；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（二）不履行或者不正确履行职责，玩忽职守，贻误工作的；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（三）工作中有形式主义、官僚主义行为的；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（四）工作中有弄虚作假，误导、欺骗行为的；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（五）泄露国家秘密、工作秘密，或者泄露因履行职责掌握的商业秘密、个人隐私的。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00117B9F">
        <w:rPr>
          <w:rFonts w:ascii="微软雅黑" w:eastAsia="微软雅黑" w:hAnsi="微软雅黑" w:cs="仿宋_GB2312"/>
          <w:sz w:val="20"/>
          <w:szCs w:val="20"/>
        </w:rPr>
        <w:t>有下列行为之一的，予以警告、记过或</w:t>
      </w:r>
      <w:r w:rsidRPr="00586F65">
        <w:rPr>
          <w:rFonts w:ascii="微软雅黑" w:eastAsia="微软雅黑" w:hAnsi="微软雅黑" w:cs="仿宋_GB2312"/>
          <w:sz w:val="20"/>
          <w:szCs w:val="20"/>
        </w:rPr>
        <w:t>记大过；情节较重的，予以降级或者撤职；情节严重的，予以开除：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（一）违背社会公序良俗，在公共场所有不当行为，造成不良影响的；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（二）参与或者支持迷信活动，造成不良影响的；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（三）参与赌博的；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（四）拒不承担赡养、抚养、扶养义务的；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（五）实施家庭暴力，虐待、遗弃家庭成员的；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（六）其他严重违反家庭美德、社会公德的行为。</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吸食、注射毒品，组织赌博，组织、支持、参与卖淫、嫖娼、色情淫乱活动的，予以撤职或者开除。</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公职人员有其他违法行为，影响公职人员形象，损害国家和</w:t>
      </w:r>
      <w:r w:rsidRPr="00586F65">
        <w:rPr>
          <w:rFonts w:ascii="微软雅黑" w:eastAsia="微软雅黑" w:hAnsi="微软雅黑" w:cs="仿宋_GB2312"/>
          <w:sz w:val="20"/>
          <w:szCs w:val="20"/>
        </w:rPr>
        <w:t>人民利益的，可以根据情节轻重给予相应政务处分。</w:t>
      </w:r>
    </w:p>
    <w:p w:rsidR="0092168E" w:rsidRPr="00586F65" w:rsidRDefault="00B45B9B" w:rsidP="00117B9F">
      <w:pPr>
        <w:spacing w:line="240" w:lineRule="exact"/>
        <w:ind w:firstLineChars="200" w:firstLine="392"/>
        <w:jc w:val="center"/>
        <w:rPr>
          <w:rFonts w:ascii="微软雅黑" w:eastAsia="微软雅黑" w:hAnsi="微软雅黑"/>
          <w:b/>
          <w:sz w:val="20"/>
          <w:szCs w:val="20"/>
        </w:rPr>
      </w:pPr>
      <w:r w:rsidRPr="00586F65">
        <w:rPr>
          <w:rFonts w:ascii="微软雅黑" w:eastAsia="微软雅黑" w:hAnsi="微软雅黑" w:cs="仿宋_GB2312"/>
          <w:sz w:val="20"/>
          <w:szCs w:val="20"/>
        </w:rPr>
        <w:lastRenderedPageBreak/>
        <w:t xml:space="preserve"> </w:t>
      </w:r>
      <w:r w:rsidRPr="00586F65">
        <w:rPr>
          <w:rFonts w:ascii="微软雅黑" w:eastAsia="微软雅黑" w:hAnsi="微软雅黑" w:cs="黑体"/>
          <w:b/>
          <w:sz w:val="20"/>
          <w:szCs w:val="20"/>
        </w:rPr>
        <w:t>第四</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政务处分的程序</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监察机关对涉嫌违法的公职人员进行调查，应当由二名以上工作人员进行。监察机关进行调查时，有权依法向有关单位和个人了解情况，收集、调取证据。有关单位和个人应当如实提供情况。</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严禁以威胁、引诱、欺骗及其他非法方式收集证据。以非法方式收集的证据不得作为给予政务处分的依据。</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政务处分决定前，监察机关应当将调查认定的违法事实及拟给予政务处分的依据告知被调查人，听取被调查人的陈述和申辩，并对其陈述的事实、理由和证据</w:t>
      </w:r>
      <w:r w:rsidRPr="00586F65">
        <w:rPr>
          <w:rFonts w:ascii="微软雅黑" w:eastAsia="微软雅黑" w:hAnsi="微软雅黑" w:cs="仿宋_GB2312"/>
          <w:sz w:val="20"/>
          <w:szCs w:val="20"/>
        </w:rPr>
        <w:t>进行核实，记录在案。被调查人提出的事实、理由和证据成立的，应予采纳。不得因被调查人的申辩而加重政务处分。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调查终结后，监察机关应当根据下列不同情况，分别</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（一）确有应受政务处分的违法行为的，根据情节轻重，按照政务处分决定权限，履行规定的审批手续后，</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（二）违法事实不能成立的，撤销案件；</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（三）符合免予、不予政务处分条件的，</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免予、不予政务处分决定；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（四）被调查人涉嫌其他违法或者犯罪行为的，依法移送主管机关处理。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决定给予政务处分的，应当制作政务处分决定</w:t>
      </w:r>
      <w:r w:rsidRPr="00586F65">
        <w:rPr>
          <w:rFonts w:ascii="微软雅黑" w:eastAsia="微软雅黑" w:hAnsi="微软雅黑" w:cs="仿宋_GB2312"/>
          <w:sz w:val="20"/>
          <w:szCs w:val="20"/>
        </w:rPr>
        <w:t>书。</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政务处分决定书应当载明下列事项：</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（一）被处分人的姓名、工作单位和职务；</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（二）违法事实和证据；</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（三）政务处分的种类和依据；</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（四）不服政务处分决定，申请复审、复核的途径和期限；</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政务处分决定的机关名称和日期。</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政务处分决定书应当盖有</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决定的监察机关的印章。</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政务处分决定书应当及时送达被处分人和被处分人所在机关、单位，并在一定范围内宣布。</w:t>
      </w:r>
    </w:p>
    <w:p w:rsidR="0092168E" w:rsidRPr="00586F65" w:rsidRDefault="00B45B9B" w:rsidP="00586F65">
      <w:pPr>
        <w:spacing w:line="240" w:lineRule="exact"/>
        <w:ind w:firstLineChars="200" w:firstLine="392"/>
        <w:rPr>
          <w:rFonts w:ascii="微软雅黑" w:eastAsia="微软雅黑" w:hAnsi="微软雅黑"/>
          <w:sz w:val="20"/>
          <w:szCs w:val="20"/>
        </w:rPr>
      </w:pP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政务处分决定后，监察机关应当根据被处分人的具体身份书面告知相关的机关、单位。</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参与公职人员违法案件调查、处理的人员有下列情形之一的，应当自行回避，被调查人、检举人及其他有关人员也有权要求其回避：</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（一）是被调查人或者检举人的近亲属的；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（二）担任过本案的证人的；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（三）本人或者其近亲属与调查的案件有利害关系的；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（四）可能影响案件公正调查、处理的其他情形。</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监察机关负责人的回避，由上级监察机关决定；其他参与违法案件调查、处理人员的回避，由监察机关负责人决定。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监察机关或者上级监察机关发现参与违法案件调查、处理人员有应当回避情形的，可以直接决定该人员回避。</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第四十九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w:t>
      </w:r>
      <w:r w:rsidRPr="00586F65">
        <w:rPr>
          <w:rFonts w:ascii="微软雅黑" w:eastAsia="微软雅黑" w:hAnsi="微软雅黑" w:cs="仿宋_GB2312"/>
          <w:sz w:val="20"/>
          <w:szCs w:val="20"/>
        </w:rPr>
        <w:t>人员依法受到刑事责任追究的，监察机关应当根据司法机关的生效判决、裁定、决定及其认定的事实和情节，依照本法规定给予政务处分。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公职人员依法受到行政处罚，应当给予政务处分的，监察机关可以根据行政处罚决定认定的事实和情节，经立案调查核实后，依照本法给予政务处分。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监察机关根据本条第一款、第二款的规定</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政务处分后，司法机关、行政机关依法改变原生效判决、裁定、决定等，对原政务处分决定产生影响的，监察机关应当根据改变后的判决、裁定、决定等重新</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相应处理。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监察机关对经各级人民代表大会、县级以上各级人民代表</w:t>
      </w:r>
      <w:r w:rsidRPr="00586F65">
        <w:rPr>
          <w:rFonts w:ascii="微软雅黑" w:eastAsia="微软雅黑" w:hAnsi="微软雅黑" w:cs="仿宋_GB2312"/>
          <w:sz w:val="20"/>
          <w:szCs w:val="20"/>
        </w:rPr>
        <w:t>大会常务委员会选举或者决定任命的公职人员予以撤职、开除的，应当</w:t>
      </w:r>
      <w:proofErr w:type="gramStart"/>
      <w:r w:rsidRPr="00586F65">
        <w:rPr>
          <w:rFonts w:ascii="微软雅黑" w:eastAsia="微软雅黑" w:hAnsi="微软雅黑" w:cs="仿宋_GB2312"/>
          <w:sz w:val="20"/>
          <w:szCs w:val="20"/>
        </w:rPr>
        <w:t>先依法</w:t>
      </w:r>
      <w:proofErr w:type="gramEnd"/>
      <w:r w:rsidRPr="00586F65">
        <w:rPr>
          <w:rFonts w:ascii="微软雅黑" w:eastAsia="微软雅黑" w:hAnsi="微软雅黑" w:cs="仿宋_GB2312"/>
          <w:sz w:val="20"/>
          <w:szCs w:val="20"/>
        </w:rPr>
        <w:t>罢免、撤销或者免去其职务，再依法</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监察机关对经中国人民政治协商会议各级委员会全体会议或者其常务委员会选举或者决定任命的公职人员予以撤职、开除的，应当先依章程免去其职务，再依法</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下级监察机关根据上级</w:t>
      </w:r>
      <w:r w:rsidRPr="00586F65">
        <w:rPr>
          <w:rFonts w:ascii="微软雅黑" w:eastAsia="微软雅黑" w:hAnsi="微软雅黑" w:cs="仿宋_GB2312"/>
          <w:sz w:val="20"/>
          <w:szCs w:val="20"/>
        </w:rPr>
        <w:t>监察机关的指定管辖决定进行调查的案件，调查终结后，对不属于本监察机关管辖范围内的监察对象，应当交有管理权限的监察机关依法</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公职人员涉嫌违法，已经被立案调查，不宜继续履行职责的，公职人员任免机关、单位可以决定暂停其履行职务。</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公职人员在被立案调查期间，未经监察机关同意，不得出境、辞去公职；被调查公职人员所在机关、单位及上级机关、单位不得对其交流、晋升、奖励、处分或者办理退休手续。</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监察机关在调查中发现公职人员受到不实检举、控告或者诬告陷害，造成不良影响的，应当按照规定</w:t>
      </w:r>
      <w:r w:rsidRPr="00586F65">
        <w:rPr>
          <w:rFonts w:ascii="微软雅黑" w:eastAsia="微软雅黑" w:hAnsi="微软雅黑" w:cs="仿宋_GB2312"/>
          <w:sz w:val="20"/>
          <w:szCs w:val="20"/>
        </w:rPr>
        <w:t>及时澄清事实，恢复名誉，消除不良影响。</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公职人员受到政务处分的，应当将政务处分决定书存入其本人档案。对于受到降级以上政务处分的，应当由人事部门按照管理权限在</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政务处分决定后一个月内办理职务、工资及其他有关待遇等的变更手续；特殊情况下，经批准可以适当延长办理期限，但是最长不得超过六个月。</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第五</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复审、复核</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公职人员对监察机关</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的涉及本人的政务处分决定不服的，可以依法向</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决定的监察机关申请复审；公职人员对复审决定仍不服的，可以向上一级监察机关申请复核。</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监察机关发现本机关</w:t>
      </w:r>
      <w:r w:rsidRPr="00586F65">
        <w:rPr>
          <w:rFonts w:ascii="微软雅黑" w:eastAsia="微软雅黑" w:hAnsi="微软雅黑" w:cs="仿宋_GB2312"/>
          <w:sz w:val="20"/>
          <w:szCs w:val="20"/>
        </w:rPr>
        <w:t>或者下级监察机关</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的政务处分决定确有错误的，应当及时予以纠正或者责令下级监察机关及时予以纠正。</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lastRenderedPageBreak/>
        <w:t>第五十六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复审、复核期间，不停止原政务处分决定的执行。</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公职人员不因提出复审、复核而被加重政务处分。</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有下列情形之一的，复审、复核机关应当撤销原政务处分决定，重新</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决定或者责令原作出决定的监察机关重新</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决定：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（一）政务处分所依据的违法事实不清或者证据不足的；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（二）违反法定程序，影响案件公正处理的；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（三）超越职权或者滥用职权</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政务处分决定的。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第五十八</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00EA5906">
        <w:rPr>
          <w:rFonts w:ascii="微软雅黑" w:eastAsia="微软雅黑" w:hAnsi="微软雅黑" w:cs="仿宋_GB2312"/>
          <w:sz w:val="20"/>
          <w:szCs w:val="20"/>
        </w:rPr>
        <w:t>有下列情形之一的，复审、复核机关应当变更原政务处分决定，或</w:t>
      </w:r>
      <w:r w:rsidRPr="00586F65">
        <w:rPr>
          <w:rFonts w:ascii="微软雅黑" w:eastAsia="微软雅黑" w:hAnsi="微软雅黑" w:cs="仿宋_GB2312"/>
          <w:sz w:val="20"/>
          <w:szCs w:val="20"/>
        </w:rPr>
        <w:t>责令原作出决定的监察机关予以变更：</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（一）适用法律、法规确有错误的；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（二）对违法行为的情节认定确有错误的；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（三）政务处分不当的。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第五十九</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复审、复核机关认为政务处分决定认定事实清楚，适用法律正确的，应当予以维持。</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w:t>
      </w:r>
      <w:r w:rsidRPr="00586F65">
        <w:rPr>
          <w:rFonts w:ascii="微软雅黑" w:eastAsia="微软雅黑" w:hAnsi="微软雅黑" w:cs="仿宋_GB2312"/>
          <w:sz w:val="20"/>
          <w:szCs w:val="20"/>
        </w:rPr>
        <w:t>等级安排相应的职务、职级、衔级、岗位和职员等级，并在原政务处分决定公布范围内为其恢复名誉。没收、追缴财物错误的，应当依法予以返还、赔偿。</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公职人员因有本法第五十七条、第五十八条规定的情形被撤销政务处分或者减轻政务处分的，应当对其薪酬待遇受到的损失予以补偿。</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第六</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法律责任</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第六十一</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有关机关、单位无正当理由拒不采纳监察建议的，由其上级机关、主管部门责令改正，对该机关、单位给予通报批评，对负有责任的领导人员和直接责任人员依法给</w:t>
      </w:r>
      <w:proofErr w:type="gramStart"/>
      <w:r w:rsidRPr="00586F65">
        <w:rPr>
          <w:rFonts w:ascii="微软雅黑" w:eastAsia="微软雅黑" w:hAnsi="微软雅黑" w:cs="仿宋_GB2312"/>
          <w:sz w:val="20"/>
          <w:szCs w:val="20"/>
        </w:rPr>
        <w:t>予处理</w:t>
      </w:r>
      <w:proofErr w:type="gramEnd"/>
      <w:r w:rsidRPr="00586F65">
        <w:rPr>
          <w:rFonts w:ascii="微软雅黑" w:eastAsia="微软雅黑" w:hAnsi="微软雅黑" w:cs="仿宋_GB2312"/>
          <w:sz w:val="20"/>
          <w:szCs w:val="20"/>
        </w:rPr>
        <w:t>。</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第六十二</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有关机关、单位、组织或者人员有下列情形之一的，由其</w:t>
      </w:r>
      <w:r w:rsidRPr="00586F65">
        <w:rPr>
          <w:rFonts w:ascii="微软雅黑" w:eastAsia="微软雅黑" w:hAnsi="微软雅黑" w:cs="仿宋_GB2312"/>
          <w:sz w:val="20"/>
          <w:szCs w:val="20"/>
        </w:rPr>
        <w:t>上级机关，主管部门，任免机关、单位或者监察机关责令改正，依法给</w:t>
      </w:r>
      <w:proofErr w:type="gramStart"/>
      <w:r w:rsidRPr="00586F65">
        <w:rPr>
          <w:rFonts w:ascii="微软雅黑" w:eastAsia="微软雅黑" w:hAnsi="微软雅黑" w:cs="仿宋_GB2312"/>
          <w:sz w:val="20"/>
          <w:szCs w:val="20"/>
        </w:rPr>
        <w:t>予处理</w:t>
      </w:r>
      <w:proofErr w:type="gramEnd"/>
      <w:r w:rsidRPr="00586F65">
        <w:rPr>
          <w:rFonts w:ascii="微软雅黑" w:eastAsia="微软雅黑" w:hAnsi="微软雅黑" w:cs="仿宋_GB2312"/>
          <w:sz w:val="20"/>
          <w:szCs w:val="20"/>
        </w:rPr>
        <w:t>：</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（一）拒不执行政务处分决定的；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（二）拒不配合或者阻碍调查的；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（三）对检举人、证人或者调查人员进行打击报复的；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（四）诬告陷害公职人员的；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（五）其他违反本法规定的情形。</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第六十三</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监察机关及其工作人员有下列情形之一的，对负有责任的领导人员和直接责任人员依法给</w:t>
      </w:r>
      <w:proofErr w:type="gramStart"/>
      <w:r w:rsidRPr="00586F65">
        <w:rPr>
          <w:rFonts w:ascii="微软雅黑" w:eastAsia="微软雅黑" w:hAnsi="微软雅黑" w:cs="仿宋_GB2312"/>
          <w:sz w:val="20"/>
          <w:szCs w:val="20"/>
        </w:rPr>
        <w:t>予处理</w:t>
      </w:r>
      <w:proofErr w:type="gramEnd"/>
      <w:r w:rsidRPr="00586F65">
        <w:rPr>
          <w:rFonts w:ascii="微软雅黑" w:eastAsia="微软雅黑" w:hAnsi="微软雅黑" w:cs="仿宋_GB2312"/>
          <w:sz w:val="20"/>
          <w:szCs w:val="20"/>
        </w:rPr>
        <w:t>：</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（一）违反规定处置问题线索的；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（二）窃取、泄露调查工作信息，或者泄露检举事项、检举受理情况以及检举人信息的；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（三）对被调查人或者涉案人员逼供、诱供，或者侮辱、打骂</w:t>
      </w:r>
      <w:r w:rsidRPr="00586F65">
        <w:rPr>
          <w:rFonts w:ascii="微软雅黑" w:eastAsia="微软雅黑" w:hAnsi="微软雅黑" w:cs="仿宋_GB2312"/>
          <w:sz w:val="20"/>
          <w:szCs w:val="20"/>
        </w:rPr>
        <w:t>、虐待、体罚或者变相体罚的；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（四）收受被调查人或者涉案人员的财物以及其他利益的；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（五）违反规定处置涉案财物的；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（六）违反规定采取调查措施的；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（七）利用职权或者职务上的影响干预调查工作、以案谋私的；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（八）违反规定发生办案安全事故，或者发生安全事故后隐瞒不报、报告失实、处置不当的；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（九）违反回避等程序规定，造成不良影响的；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（十）不依法受理和处理公职人员复审、复核的；</w:t>
      </w:r>
    </w:p>
    <w:p w:rsidR="0092168E" w:rsidRPr="00586F65" w:rsidRDefault="00B45B9B" w:rsidP="00586F65">
      <w:pPr>
        <w:spacing w:line="240" w:lineRule="exact"/>
        <w:ind w:firstLineChars="200" w:firstLine="392"/>
        <w:rPr>
          <w:rFonts w:ascii="微软雅黑" w:eastAsia="微软雅黑" w:hAnsi="微软雅黑"/>
          <w:sz w:val="20"/>
          <w:szCs w:val="20"/>
        </w:rPr>
      </w:pPr>
      <w:r w:rsidRPr="00586F65">
        <w:rPr>
          <w:rFonts w:ascii="微软雅黑" w:eastAsia="微软雅黑" w:hAnsi="微软雅黑" w:cs="仿宋_GB2312"/>
          <w:sz w:val="20"/>
          <w:szCs w:val="20"/>
        </w:rPr>
        <w:t>（十一）其他滥用职权、玩忽职守、徇私舞弊的行为。</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第六十四</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违反本法规定，构成犯罪的，依法追究刑事责任。</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jc w:val="center"/>
        <w:rPr>
          <w:rFonts w:ascii="微软雅黑" w:eastAsia="微软雅黑" w:hAnsi="微软雅黑"/>
          <w:b/>
          <w:sz w:val="20"/>
          <w:szCs w:val="20"/>
        </w:rPr>
      </w:pPr>
      <w:r w:rsidRPr="00586F65">
        <w:rPr>
          <w:rFonts w:ascii="微软雅黑" w:eastAsia="微软雅黑" w:hAnsi="微软雅黑" w:cs="黑体"/>
          <w:b/>
          <w:sz w:val="20"/>
          <w:szCs w:val="20"/>
        </w:rPr>
        <w:t>第七</w:t>
      </w:r>
      <w:r w:rsidRPr="00586F65">
        <w:rPr>
          <w:rFonts w:ascii="微软雅黑" w:eastAsia="微软雅黑" w:hAnsi="微软雅黑" w:cs="黑体" w:hint="eastAsia"/>
          <w:b/>
          <w:sz w:val="20"/>
          <w:szCs w:val="20"/>
        </w:rPr>
        <w:t xml:space="preserve">章　</w:t>
      </w:r>
      <w:r w:rsidRPr="00586F65">
        <w:rPr>
          <w:rFonts w:ascii="微软雅黑" w:eastAsia="微软雅黑" w:hAnsi="微软雅黑" w:cs="黑体"/>
          <w:b/>
          <w:sz w:val="20"/>
          <w:szCs w:val="20"/>
        </w:rPr>
        <w:t>附　　则</w:t>
      </w:r>
    </w:p>
    <w:p w:rsidR="0092168E" w:rsidRPr="00586F65" w:rsidRDefault="00B45B9B" w:rsidP="00586F65">
      <w:pPr>
        <w:spacing w:line="240" w:lineRule="exact"/>
        <w:ind w:firstLineChars="200" w:firstLine="392"/>
        <w:jc w:val="center"/>
        <w:rPr>
          <w:rFonts w:ascii="微软雅黑" w:eastAsia="微软雅黑" w:hAnsi="微软雅黑"/>
          <w:sz w:val="20"/>
          <w:szCs w:val="20"/>
        </w:rPr>
      </w:pPr>
      <w:r w:rsidRPr="00586F65">
        <w:rPr>
          <w:rFonts w:ascii="微软雅黑" w:eastAsia="微软雅黑" w:hAnsi="微软雅黑" w:cs="仿宋_GB2312"/>
          <w:sz w:val="20"/>
          <w:szCs w:val="20"/>
        </w:rPr>
        <w:t xml:space="preserve"> </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第六十五</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国务院及其相关主管部门根据本法的原则和精神，结合事业单位、国有企业等的实际情况，对事业单位、国有企业等的违法的公职人员处分事宜</w:t>
      </w:r>
      <w:proofErr w:type="gramStart"/>
      <w:r w:rsidRPr="00586F65">
        <w:rPr>
          <w:rFonts w:ascii="微软雅黑" w:eastAsia="微软雅黑" w:hAnsi="微软雅黑" w:cs="仿宋_GB2312"/>
          <w:sz w:val="20"/>
          <w:szCs w:val="20"/>
        </w:rPr>
        <w:t>作出</w:t>
      </w:r>
      <w:proofErr w:type="gramEnd"/>
      <w:r w:rsidRPr="00586F65">
        <w:rPr>
          <w:rFonts w:ascii="微软雅黑" w:eastAsia="微软雅黑" w:hAnsi="微软雅黑" w:cs="仿宋_GB2312"/>
          <w:sz w:val="20"/>
          <w:szCs w:val="20"/>
        </w:rPr>
        <w:t>具体规定。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第六十六</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中央军事委员会可以根据本法制定相关具体规定。</w:t>
      </w:r>
    </w:p>
    <w:p w:rsidR="0092168E" w:rsidRPr="00586F65" w:rsidRDefault="00B45B9B" w:rsidP="00586F65">
      <w:pPr>
        <w:spacing w:line="240" w:lineRule="exact"/>
        <w:ind w:firstLineChars="200" w:firstLine="392"/>
        <w:rPr>
          <w:rFonts w:ascii="微软雅黑" w:eastAsia="微软雅黑" w:hAnsi="微软雅黑"/>
          <w:sz w:val="20"/>
          <w:szCs w:val="20"/>
        </w:rPr>
      </w:pPr>
      <w:r w:rsidRPr="00EA5906">
        <w:rPr>
          <w:rFonts w:ascii="微软雅黑" w:eastAsia="微软雅黑" w:hAnsi="微软雅黑" w:cs="黑体"/>
          <w:b/>
          <w:sz w:val="20"/>
          <w:szCs w:val="20"/>
        </w:rPr>
        <w:t>第六十七</w:t>
      </w:r>
      <w:r w:rsidRPr="00EA5906">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92168E" w:rsidRPr="00586F65" w:rsidRDefault="00B45B9B" w:rsidP="00586F65">
      <w:pPr>
        <w:spacing w:line="240" w:lineRule="exact"/>
        <w:ind w:firstLineChars="200" w:firstLine="392"/>
        <w:rPr>
          <w:rFonts w:ascii="微软雅黑" w:eastAsia="微软雅黑" w:hAnsi="微软雅黑"/>
          <w:sz w:val="20"/>
          <w:szCs w:val="20"/>
        </w:rPr>
      </w:pPr>
      <w:r w:rsidRPr="00DC46FD">
        <w:rPr>
          <w:rFonts w:ascii="微软雅黑" w:eastAsia="微软雅黑" w:hAnsi="微软雅黑" w:cs="黑体"/>
          <w:b/>
          <w:sz w:val="20"/>
          <w:szCs w:val="20"/>
        </w:rPr>
        <w:t>第六十八</w:t>
      </w:r>
      <w:r w:rsidRPr="00DC46FD">
        <w:rPr>
          <w:rFonts w:ascii="微软雅黑" w:eastAsia="微软雅黑" w:hAnsi="微软雅黑" w:cs="黑体" w:hint="eastAsia"/>
          <w:b/>
          <w:sz w:val="20"/>
          <w:szCs w:val="20"/>
        </w:rPr>
        <w:t>条</w:t>
      </w:r>
      <w:r w:rsidRPr="00586F65">
        <w:rPr>
          <w:rFonts w:ascii="微软雅黑" w:eastAsia="微软雅黑" w:hAnsi="微软雅黑" w:cs="黑体" w:hint="eastAsia"/>
          <w:sz w:val="20"/>
          <w:szCs w:val="20"/>
        </w:rPr>
        <w:t xml:space="preserve">　</w:t>
      </w:r>
      <w:r w:rsidRPr="00586F65">
        <w:rPr>
          <w:rFonts w:ascii="微软雅黑" w:eastAsia="微软雅黑" w:hAnsi="微软雅黑" w:cs="仿宋_GB2312"/>
          <w:sz w:val="20"/>
          <w:szCs w:val="20"/>
        </w:rPr>
        <w:t>本法自</w:t>
      </w:r>
      <w:r w:rsidRPr="00586F65">
        <w:rPr>
          <w:rFonts w:ascii="微软雅黑" w:eastAsia="微软雅黑" w:hAnsi="微软雅黑"/>
          <w:sz w:val="20"/>
          <w:szCs w:val="20"/>
        </w:rPr>
        <w:t>2020</w:t>
      </w:r>
      <w:r w:rsidRPr="00586F65">
        <w:rPr>
          <w:rFonts w:ascii="微软雅黑" w:eastAsia="微软雅黑" w:hAnsi="微软雅黑" w:cs="仿宋_GB2312"/>
          <w:sz w:val="20"/>
          <w:szCs w:val="20"/>
        </w:rPr>
        <w:t>年</w:t>
      </w:r>
      <w:r w:rsidRPr="00586F65">
        <w:rPr>
          <w:rFonts w:ascii="微软雅黑" w:eastAsia="微软雅黑" w:hAnsi="微软雅黑"/>
          <w:sz w:val="20"/>
          <w:szCs w:val="20"/>
        </w:rPr>
        <w:t>7</w:t>
      </w:r>
      <w:r w:rsidRPr="00586F65">
        <w:rPr>
          <w:rFonts w:ascii="微软雅黑" w:eastAsia="微软雅黑" w:hAnsi="微软雅黑" w:cs="仿宋_GB2312"/>
          <w:sz w:val="20"/>
          <w:szCs w:val="20"/>
        </w:rPr>
        <w:t>月</w:t>
      </w:r>
      <w:r w:rsidRPr="00586F65">
        <w:rPr>
          <w:rFonts w:ascii="微软雅黑" w:eastAsia="微软雅黑" w:hAnsi="微软雅黑"/>
          <w:sz w:val="20"/>
          <w:szCs w:val="20"/>
        </w:rPr>
        <w:t>1</w:t>
      </w:r>
      <w:r w:rsidRPr="00586F65">
        <w:rPr>
          <w:rFonts w:ascii="微软雅黑" w:eastAsia="微软雅黑" w:hAnsi="微软雅黑" w:cs="仿宋_GB2312"/>
          <w:sz w:val="20"/>
          <w:szCs w:val="20"/>
        </w:rPr>
        <w:t>日起施行。</w:t>
      </w:r>
    </w:p>
    <w:sectPr w:rsidR="0092168E" w:rsidRPr="00586F65" w:rsidSect="00B742C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B9B" w:rsidRDefault="00B45B9B" w:rsidP="0092168E">
      <w:r>
        <w:separator/>
      </w:r>
    </w:p>
  </w:endnote>
  <w:endnote w:type="continuationSeparator" w:id="0">
    <w:p w:rsidR="00B45B9B" w:rsidRDefault="00B45B9B" w:rsidP="009216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8E" w:rsidRDefault="00B45B9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2168E">
      <w:rPr>
        <w:rFonts w:ascii="宋体" w:hAnsi="宋体"/>
        <w:sz w:val="28"/>
        <w:szCs w:val="28"/>
      </w:rPr>
      <w:fldChar w:fldCharType="begin"/>
    </w:r>
    <w:r>
      <w:rPr>
        <w:rFonts w:ascii="宋体" w:hAnsi="宋体"/>
        <w:sz w:val="28"/>
        <w:szCs w:val="28"/>
      </w:rPr>
      <w:instrText>PAGE   \* MERGEFORMAT</w:instrText>
    </w:r>
    <w:r w:rsidR="0092168E">
      <w:rPr>
        <w:rFonts w:ascii="宋体" w:hAnsi="宋体"/>
        <w:sz w:val="28"/>
        <w:szCs w:val="28"/>
      </w:rPr>
      <w:fldChar w:fldCharType="separate"/>
    </w:r>
    <w:r w:rsidR="00B742C4" w:rsidRPr="00B742C4">
      <w:rPr>
        <w:rFonts w:ascii="宋体" w:hAnsi="宋体"/>
        <w:noProof/>
        <w:sz w:val="28"/>
        <w:szCs w:val="28"/>
        <w:lang w:val="zh-CN"/>
      </w:rPr>
      <w:t>4</w:t>
    </w:r>
    <w:r w:rsidR="0092168E">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8E" w:rsidRDefault="00B45B9B">
    <w:pPr>
      <w:pStyle w:val="a3"/>
      <w:wordWrap w:val="0"/>
      <w:jc w:val="right"/>
    </w:pPr>
    <w:r>
      <w:rPr>
        <w:rFonts w:ascii="宋体" w:hAnsi="宋体" w:hint="eastAsia"/>
        <w:sz w:val="28"/>
        <w:szCs w:val="28"/>
      </w:rPr>
      <w:t>－</w:t>
    </w:r>
    <w:r w:rsidR="0092168E">
      <w:rPr>
        <w:rFonts w:ascii="宋体" w:hAnsi="宋体"/>
        <w:sz w:val="28"/>
        <w:szCs w:val="28"/>
      </w:rPr>
      <w:fldChar w:fldCharType="begin"/>
    </w:r>
    <w:r>
      <w:rPr>
        <w:rFonts w:ascii="宋体" w:hAnsi="宋体"/>
        <w:sz w:val="28"/>
        <w:szCs w:val="28"/>
      </w:rPr>
      <w:instrText>PAGE   \* MERGEFORMAT</w:instrText>
    </w:r>
    <w:r w:rsidR="0092168E">
      <w:rPr>
        <w:rFonts w:ascii="宋体" w:hAnsi="宋体"/>
        <w:sz w:val="28"/>
        <w:szCs w:val="28"/>
      </w:rPr>
      <w:fldChar w:fldCharType="separate"/>
    </w:r>
    <w:r w:rsidR="00EA5906" w:rsidRPr="00EA5906">
      <w:rPr>
        <w:rFonts w:ascii="宋体" w:hAnsi="宋体"/>
        <w:noProof/>
        <w:sz w:val="28"/>
        <w:szCs w:val="28"/>
        <w:lang w:val="zh-CN"/>
      </w:rPr>
      <w:t>2</w:t>
    </w:r>
    <w:r w:rsidR="0092168E">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B9B" w:rsidRDefault="00B45B9B" w:rsidP="0092168E">
      <w:r>
        <w:separator/>
      </w:r>
    </w:p>
  </w:footnote>
  <w:footnote w:type="continuationSeparator" w:id="0">
    <w:p w:rsidR="00B45B9B" w:rsidRDefault="00B45B9B" w:rsidP="00921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17B9F"/>
    <w:rsid w:val="00131BA9"/>
    <w:rsid w:val="0013352A"/>
    <w:rsid w:val="00140A15"/>
    <w:rsid w:val="0016100C"/>
    <w:rsid w:val="00166DBD"/>
    <w:rsid w:val="00194C5F"/>
    <w:rsid w:val="002434D9"/>
    <w:rsid w:val="002447F6"/>
    <w:rsid w:val="00247B39"/>
    <w:rsid w:val="002E3D11"/>
    <w:rsid w:val="002F77E5"/>
    <w:rsid w:val="00307CD3"/>
    <w:rsid w:val="00315BE5"/>
    <w:rsid w:val="00334FA7"/>
    <w:rsid w:val="00353AD7"/>
    <w:rsid w:val="003A0332"/>
    <w:rsid w:val="003F636B"/>
    <w:rsid w:val="0044207F"/>
    <w:rsid w:val="004D5710"/>
    <w:rsid w:val="004F542C"/>
    <w:rsid w:val="00550A4A"/>
    <w:rsid w:val="005667BC"/>
    <w:rsid w:val="00586F65"/>
    <w:rsid w:val="005A4A7E"/>
    <w:rsid w:val="005C49EF"/>
    <w:rsid w:val="005F0A94"/>
    <w:rsid w:val="00610663"/>
    <w:rsid w:val="00616EB4"/>
    <w:rsid w:val="006A6786"/>
    <w:rsid w:val="006B2EDC"/>
    <w:rsid w:val="006D3381"/>
    <w:rsid w:val="006E600C"/>
    <w:rsid w:val="00785C4E"/>
    <w:rsid w:val="007A6644"/>
    <w:rsid w:val="008503CF"/>
    <w:rsid w:val="00867A37"/>
    <w:rsid w:val="008A10A6"/>
    <w:rsid w:val="008D4D49"/>
    <w:rsid w:val="0092168E"/>
    <w:rsid w:val="00937399"/>
    <w:rsid w:val="009D4E62"/>
    <w:rsid w:val="00A07177"/>
    <w:rsid w:val="00A87604"/>
    <w:rsid w:val="00B12059"/>
    <w:rsid w:val="00B32293"/>
    <w:rsid w:val="00B45B9B"/>
    <w:rsid w:val="00B742C4"/>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6FD"/>
    <w:rsid w:val="00DC4D4C"/>
    <w:rsid w:val="00DD7D16"/>
    <w:rsid w:val="00EA2922"/>
    <w:rsid w:val="00EA5906"/>
    <w:rsid w:val="00ED7C16"/>
    <w:rsid w:val="00EE2B0F"/>
    <w:rsid w:val="00EE52D1"/>
    <w:rsid w:val="00F352BC"/>
    <w:rsid w:val="00F4604E"/>
    <w:rsid w:val="00F72984"/>
    <w:rsid w:val="00F7674E"/>
    <w:rsid w:val="00F97604"/>
    <w:rsid w:val="00FA7EE2"/>
    <w:rsid w:val="00FD0030"/>
    <w:rsid w:val="1E46051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8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168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2168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2168E"/>
    <w:rPr>
      <w:color w:val="954F72"/>
      <w:u w:val="single"/>
    </w:rPr>
  </w:style>
  <w:style w:type="character" w:styleId="a6">
    <w:name w:val="Hyperlink"/>
    <w:uiPriority w:val="99"/>
    <w:rsid w:val="0092168E"/>
    <w:rPr>
      <w:rFonts w:ascii="ˎ̥" w:hAnsi="ˎ̥" w:hint="default"/>
      <w:color w:val="0404B3"/>
      <w:sz w:val="18"/>
      <w:szCs w:val="18"/>
      <w:u w:val="none"/>
    </w:rPr>
  </w:style>
  <w:style w:type="character" w:customStyle="1" w:styleId="Char0">
    <w:name w:val="页眉 Char"/>
    <w:link w:val="a4"/>
    <w:uiPriority w:val="99"/>
    <w:rsid w:val="0092168E"/>
    <w:rPr>
      <w:sz w:val="18"/>
      <w:szCs w:val="18"/>
    </w:rPr>
  </w:style>
  <w:style w:type="character" w:customStyle="1" w:styleId="Char">
    <w:name w:val="页脚 Char"/>
    <w:link w:val="a3"/>
    <w:uiPriority w:val="99"/>
    <w:rsid w:val="0092168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7935E-A215-4E9D-9EBE-26E46E25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1470</Words>
  <Characters>8380</Characters>
  <Application>Microsoft Office Word</Application>
  <DocSecurity>0</DocSecurity>
  <Lines>69</Lines>
  <Paragraphs>19</Paragraphs>
  <ScaleCrop>false</ScaleCrop>
  <Company>newdaxie</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A045</dc:title>
  <dc:creator>新大榭</dc:creator>
  <cp:lastModifiedBy>Zhanglb</cp:lastModifiedBy>
  <cp:revision>11</cp:revision>
  <dcterms:created xsi:type="dcterms:W3CDTF">2017-11-15T02:33:00Z</dcterms:created>
  <dcterms:modified xsi:type="dcterms:W3CDTF">2023-04-10T12:18:00Z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