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E7B9B" w:rsidP="00BE7B9B">
      <w:pPr>
        <w:spacing w:line="500" w:lineRule="exact"/>
        <w:jc w:val="center"/>
        <w:rPr>
          <w:rFonts w:ascii="微软雅黑" w:eastAsia="微软雅黑" w:hAnsi="微软雅黑" w:cs="Arial"/>
          <w:b/>
          <w:color w:val="FF0000"/>
          <w:kern w:val="0"/>
          <w:sz w:val="40"/>
          <w:szCs w:val="40"/>
        </w:rPr>
      </w:pPr>
      <w:r w:rsidRPr="00BE7B9B">
        <w:rPr>
          <w:rFonts w:ascii="微软雅黑" w:eastAsia="微软雅黑" w:hAnsi="微软雅黑" w:cs="Arial" w:hint="eastAsia"/>
          <w:b/>
          <w:color w:val="FF0000"/>
          <w:kern w:val="0"/>
          <w:sz w:val="40"/>
          <w:szCs w:val="40"/>
        </w:rPr>
        <w:t>《</w:t>
      </w:r>
      <w:r w:rsidR="00B31C24" w:rsidRPr="00BE7B9B">
        <w:rPr>
          <w:rFonts w:ascii="微软雅黑" w:eastAsia="微软雅黑" w:hAnsi="微软雅黑" w:cs="Arial" w:hint="eastAsia"/>
          <w:b/>
          <w:color w:val="FF0000"/>
          <w:kern w:val="0"/>
          <w:sz w:val="40"/>
          <w:szCs w:val="40"/>
        </w:rPr>
        <w:t>中华人民共和国耕地占用税法</w:t>
      </w:r>
      <w:r w:rsidRPr="00BE7B9B">
        <w:rPr>
          <w:rFonts w:ascii="微软雅黑" w:eastAsia="微软雅黑" w:hAnsi="微软雅黑" w:cs="Arial" w:hint="eastAsia"/>
          <w:b/>
          <w:color w:val="FF0000"/>
          <w:kern w:val="0"/>
          <w:sz w:val="40"/>
          <w:szCs w:val="40"/>
        </w:rPr>
        <w:t>》</w:t>
      </w: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31C24" w:rsidP="00BE7B9B">
      <w:pPr>
        <w:spacing w:line="240" w:lineRule="exact"/>
        <w:ind w:leftChars="200" w:left="640" w:rightChars="200" w:right="640"/>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w:t>
      </w:r>
      <w:r w:rsidRPr="00BE7B9B">
        <w:rPr>
          <w:rFonts w:ascii="微软雅黑" w:eastAsia="微软雅黑" w:hAnsi="微软雅黑" w:cs="Arial" w:hint="eastAsia"/>
          <w:kern w:val="0"/>
          <w:sz w:val="22"/>
          <w:szCs w:val="22"/>
        </w:rPr>
        <w:t>2018</w:t>
      </w:r>
      <w:r w:rsidRPr="00BE7B9B">
        <w:rPr>
          <w:rFonts w:ascii="微软雅黑" w:eastAsia="微软雅黑" w:hAnsi="微软雅黑" w:cs="Arial" w:hint="eastAsia"/>
          <w:kern w:val="0"/>
          <w:sz w:val="22"/>
          <w:szCs w:val="22"/>
        </w:rPr>
        <w:t>年</w:t>
      </w:r>
      <w:r w:rsidRPr="00BE7B9B">
        <w:rPr>
          <w:rFonts w:ascii="微软雅黑" w:eastAsia="微软雅黑" w:hAnsi="微软雅黑" w:cs="Arial" w:hint="eastAsia"/>
          <w:kern w:val="0"/>
          <w:sz w:val="22"/>
          <w:szCs w:val="22"/>
        </w:rPr>
        <w:t>12</w:t>
      </w:r>
      <w:r w:rsidRPr="00BE7B9B">
        <w:rPr>
          <w:rFonts w:ascii="微软雅黑" w:eastAsia="微软雅黑" w:hAnsi="微软雅黑" w:cs="Arial" w:hint="eastAsia"/>
          <w:kern w:val="0"/>
          <w:sz w:val="22"/>
          <w:szCs w:val="22"/>
        </w:rPr>
        <w:t>月</w:t>
      </w:r>
      <w:r w:rsidRPr="00BE7B9B">
        <w:rPr>
          <w:rFonts w:ascii="微软雅黑" w:eastAsia="微软雅黑" w:hAnsi="微软雅黑" w:cs="Arial" w:hint="eastAsia"/>
          <w:kern w:val="0"/>
          <w:sz w:val="22"/>
          <w:szCs w:val="22"/>
        </w:rPr>
        <w:t>29</w:t>
      </w:r>
      <w:r w:rsidRPr="00BE7B9B">
        <w:rPr>
          <w:rFonts w:ascii="微软雅黑" w:eastAsia="微软雅黑" w:hAnsi="微软雅黑" w:cs="Arial" w:hint="eastAsia"/>
          <w:kern w:val="0"/>
          <w:sz w:val="22"/>
          <w:szCs w:val="22"/>
        </w:rPr>
        <w:t>日第十三届全国人民代表大会常务委员会第七次会议通过）</w:t>
      </w: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第一条</w:t>
      </w:r>
      <w:r w:rsidRPr="00BE7B9B">
        <w:rPr>
          <w:rFonts w:ascii="微软雅黑" w:eastAsia="微软雅黑" w:hAnsi="微软雅黑" w:cs="Arial" w:hint="eastAsia"/>
          <w:kern w:val="0"/>
          <w:sz w:val="22"/>
          <w:szCs w:val="22"/>
        </w:rPr>
        <w:t xml:space="preserve">　为了合理利用土地资源，加强土地管理，保护耕地，制定本法。</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第二条</w:t>
      </w:r>
      <w:r w:rsidRPr="00BE7B9B">
        <w:rPr>
          <w:rFonts w:ascii="微软雅黑" w:eastAsia="微软雅黑" w:hAnsi="微软雅黑" w:cs="Arial" w:hint="eastAsia"/>
          <w:kern w:val="0"/>
          <w:sz w:val="22"/>
          <w:szCs w:val="22"/>
        </w:rPr>
        <w:t xml:space="preserve">　在中华人民共和国境内占用耕地建设建筑物、构筑物或者从事非农业建设的单位和个人，为耕地占用税的纳税人，应当依照本法规定缴纳耕地占用税。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占用耕地建设农田水利设施的，不缴纳耕地占用税。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本法所称耕地，是指用于种植农作物的土地。</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第三条</w:t>
      </w:r>
      <w:r w:rsidRPr="00BE7B9B">
        <w:rPr>
          <w:rFonts w:ascii="微软雅黑" w:eastAsia="微软雅黑" w:hAnsi="微软雅黑" w:cs="Arial" w:hint="eastAsia"/>
          <w:kern w:val="0"/>
          <w:sz w:val="22"/>
          <w:szCs w:val="22"/>
        </w:rPr>
        <w:t xml:space="preserve">　耕地占用税以纳税人实际占用的耕地面积为计税依据，按照规定的适用税额一次性征收，应纳税额为纳税人实际占用的耕地面积（平方米）乘以适用税额。</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第四条</w:t>
      </w:r>
      <w:r w:rsidRPr="00BE7B9B">
        <w:rPr>
          <w:rFonts w:ascii="微软雅黑" w:eastAsia="微软雅黑" w:hAnsi="微软雅黑" w:cs="Arial" w:hint="eastAsia"/>
          <w:kern w:val="0"/>
          <w:sz w:val="22"/>
          <w:szCs w:val="22"/>
        </w:rPr>
        <w:t xml:space="preserve">　耕地占用税的税额如下：</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（一）人均耕地不超过一亩的地区（以县、自治县、不设区的市、市辖区为单位，下同），每平方米为十元至五十元；</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（二）人均耕地超过一亩但不超过二亩的地区，每平方米为八元至四十元；</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（三）人均耕地超过二亩但不超过三亩的地区，每平方米为六元至三十元；</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（四）人均耕地超过三亩的地区，每平方米为五元至二十五元。</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各地区耕地占用税</w:t>
      </w:r>
      <w:r w:rsidRPr="00BE7B9B">
        <w:rPr>
          <w:rFonts w:ascii="微软雅黑" w:eastAsia="微软雅黑" w:hAnsi="微软雅黑" w:cs="Arial" w:hint="eastAsia"/>
          <w:kern w:val="0"/>
          <w:sz w:val="22"/>
          <w:szCs w:val="22"/>
        </w:rPr>
        <w:t>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第五条</w:t>
      </w:r>
      <w:r w:rsidRPr="00BE7B9B">
        <w:rPr>
          <w:rFonts w:ascii="微软雅黑" w:eastAsia="微软雅黑" w:hAnsi="微软雅黑" w:cs="Arial" w:hint="eastAsia"/>
          <w:kern w:val="0"/>
          <w:sz w:val="22"/>
          <w:szCs w:val="22"/>
        </w:rPr>
        <w:t xml:space="preserve">　在人均耕地低于零点五亩的地区，省、自治区、直辖市可以根据当地经济发展情况，适当提高耕地占用税的适用税额，但提高的部分不得超过本法第四条第二款确定的适用税额的百分之五十。具体适用税额按照本法第四</w:t>
      </w:r>
      <w:r w:rsidRPr="00BE7B9B">
        <w:rPr>
          <w:rFonts w:ascii="微软雅黑" w:eastAsia="微软雅黑" w:hAnsi="微软雅黑" w:cs="Arial" w:hint="eastAsia"/>
          <w:kern w:val="0"/>
          <w:sz w:val="22"/>
          <w:szCs w:val="22"/>
        </w:rPr>
        <w:t>条第二款规定的程序确定。</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第六条</w:t>
      </w:r>
      <w:r w:rsidRPr="00BE7B9B">
        <w:rPr>
          <w:rFonts w:ascii="微软雅黑" w:eastAsia="微软雅黑" w:hAnsi="微软雅黑" w:cs="Arial" w:hint="eastAsia"/>
          <w:kern w:val="0"/>
          <w:sz w:val="22"/>
          <w:szCs w:val="22"/>
        </w:rPr>
        <w:t xml:space="preserve">　占用基本农田的，应当按照本法第四条第二款或者第五条确定的当地适用税额，加按百分之一百五十征收。</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第七条</w:t>
      </w:r>
      <w:r w:rsidRPr="00BE7B9B">
        <w:rPr>
          <w:rFonts w:ascii="微软雅黑" w:eastAsia="微软雅黑" w:hAnsi="微软雅黑" w:cs="Arial" w:hint="eastAsia"/>
          <w:kern w:val="0"/>
          <w:sz w:val="22"/>
          <w:szCs w:val="22"/>
        </w:rPr>
        <w:t xml:space="preserve">　军事设施、学校、幼儿园、社会福利机构、医疗机构占用耕地，免征耕地占用税。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铁路线路、公路线路、飞机场跑道、停机坪、港口、航道、水利工程占用耕地，减按每平方米二元的税额征收耕地占用税。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农村居民在规定用地标准以内占用耕地新建自用住宅，按照当地适用税额减半征收耕地占用税；其中农村居民经批准搬迁，新建自用住宅占用耕地不超过原宅基地面积的部分，免征耕地占用税。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农村烈士遗属、因公牺牲军人遗属、残疾军人以及符合农村最低生活保障条件的农村居民，在规定用地标准以内新建自用住宅，免征耕地占用税。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根据国民经济和社会发展的需要，国务院可以规定免征或者减征耕地占用税的其他情形，报全国人民代表大会常务委员会备案。</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第八条</w:t>
      </w:r>
      <w:r w:rsidRPr="00BE7B9B">
        <w:rPr>
          <w:rFonts w:ascii="微软雅黑" w:eastAsia="微软雅黑" w:hAnsi="微软雅黑" w:cs="Arial" w:hint="eastAsia"/>
          <w:kern w:val="0"/>
          <w:sz w:val="22"/>
          <w:szCs w:val="22"/>
        </w:rPr>
        <w:t xml:space="preserve">　依照本法第七条第一款、第二款规定免征或者减征耕地占用税后，纳税人改变原占地用途，不再属于免征或者减征耕地占用税情形的，应当按照当地适用税额补缴耕地占用税。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第九条</w:t>
      </w:r>
      <w:r w:rsidRPr="00BE7B9B">
        <w:rPr>
          <w:rFonts w:ascii="微软雅黑" w:eastAsia="微软雅黑" w:hAnsi="微软雅黑" w:cs="Arial" w:hint="eastAsia"/>
          <w:kern w:val="0"/>
          <w:sz w:val="22"/>
          <w:szCs w:val="22"/>
        </w:rPr>
        <w:t xml:space="preserve">　耕地占用税由税务机关负责征收。</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第十条</w:t>
      </w:r>
      <w:r w:rsidRPr="00BE7B9B">
        <w:rPr>
          <w:rFonts w:ascii="微软雅黑" w:eastAsia="微软雅黑" w:hAnsi="微软雅黑" w:cs="Arial" w:hint="eastAsia"/>
          <w:kern w:val="0"/>
          <w:sz w:val="22"/>
          <w:szCs w:val="22"/>
        </w:rPr>
        <w:t xml:space="preserve">　耕地占用税的纳税义务发生时间为纳税人收到自然资源主管部门办理占用耕地手续的书面通知的当日。纳税人应当自纳税义务发生之日起三十日内申报缴纳耕地占用税。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自然资源主管部门凭耕地占用税完税凭证或者免税凭证和其他有关文件发放建设用地批准书。</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第十一条</w:t>
      </w:r>
      <w:r w:rsidRPr="00BE7B9B">
        <w:rPr>
          <w:rFonts w:ascii="微软雅黑" w:eastAsia="微软雅黑" w:hAnsi="微软雅黑" w:cs="Arial" w:hint="eastAsia"/>
          <w:kern w:val="0"/>
          <w:sz w:val="22"/>
          <w:szCs w:val="22"/>
        </w:rPr>
        <w:t xml:space="preserve">　纳税人因建设项目施工或者地质勘查临时占用耕地，应当依照本法的规定缴纳耕地占用税。纳税人在批准临时占用耕地期满之日起一年内依法复垦，恢复种植条件的，全额退还已经缴纳的耕地占用税。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第十二条</w:t>
      </w:r>
      <w:r w:rsidRPr="00BE7B9B">
        <w:rPr>
          <w:rFonts w:ascii="微软雅黑" w:eastAsia="微软雅黑" w:hAnsi="微软雅黑" w:cs="Arial" w:hint="eastAsia"/>
          <w:kern w:val="0"/>
          <w:sz w:val="22"/>
          <w:szCs w:val="22"/>
        </w:rPr>
        <w:t xml:space="preserve">　占用园地、林地、草地、农田水利用地、养殖水面、渔业水域滩涂以及其他</w:t>
      </w:r>
      <w:r w:rsidRPr="00BE7B9B">
        <w:rPr>
          <w:rFonts w:ascii="微软雅黑" w:eastAsia="微软雅黑" w:hAnsi="微软雅黑" w:cs="Arial" w:hint="eastAsia"/>
          <w:kern w:val="0"/>
          <w:sz w:val="22"/>
          <w:szCs w:val="22"/>
        </w:rPr>
        <w:t>农用地建设建筑物、构筑物或者从事非农业建设的，依照本法的规定缴纳耕地占用税。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占用本条第一款规定的农用地建设直接为农业生产服务的生产设施的，不缴纳耕地占用税。</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第十三条</w:t>
      </w:r>
      <w:r w:rsidRPr="00BE7B9B">
        <w:rPr>
          <w:rFonts w:ascii="微软雅黑" w:eastAsia="微软雅黑" w:hAnsi="微软雅黑" w:cs="Arial" w:hint="eastAsia"/>
          <w:kern w:val="0"/>
          <w:sz w:val="22"/>
          <w:szCs w:val="22"/>
        </w:rPr>
        <w:t xml:space="preserve">　税务机关应当与相关部门建立耕地占用税涉税信息共享机制和工作配合机制。县级以上地方人民政</w:t>
      </w:r>
      <w:r w:rsidRPr="00BE7B9B">
        <w:rPr>
          <w:rFonts w:ascii="微软雅黑" w:eastAsia="微软雅黑" w:hAnsi="微软雅黑" w:cs="Arial" w:hint="eastAsia"/>
          <w:kern w:val="0"/>
          <w:sz w:val="22"/>
          <w:szCs w:val="22"/>
        </w:rPr>
        <w:t>府自然资源、农业农村、水利等相关部门应当定期向税务机关提供农用地转用、临时占地等信息，协助税务机关加强耕地占用税征收管理。</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税务机关发现纳税人的纳税申报数据资料异常或者纳税人未按照规定期限申报纳税的，可以提请相关部门进行复核，相关部门应当自收到税务机关复核申请之日起三十日内向税务机关出具复核意见。</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第十四条</w:t>
      </w:r>
      <w:r w:rsidRPr="00BE7B9B">
        <w:rPr>
          <w:rFonts w:ascii="微软雅黑" w:eastAsia="微软雅黑" w:hAnsi="微软雅黑" w:cs="Arial" w:hint="eastAsia"/>
          <w:kern w:val="0"/>
          <w:sz w:val="22"/>
          <w:szCs w:val="22"/>
        </w:rPr>
        <w:t xml:space="preserve">　耕地占用税的征收管理，依照本法和《中华人民共和国税收征收管理法》的规定执行。</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第十五条</w:t>
      </w:r>
      <w:r w:rsidRPr="00BE7B9B">
        <w:rPr>
          <w:rFonts w:ascii="微软雅黑" w:eastAsia="微软雅黑" w:hAnsi="微软雅黑" w:cs="Arial" w:hint="eastAsia"/>
          <w:kern w:val="0"/>
          <w:sz w:val="22"/>
          <w:szCs w:val="22"/>
        </w:rPr>
        <w:t xml:space="preserve">　纳税人、税务机关及其工作人员违反本法规定的，依照《中华人民共和国税收征收管理法》和有关法律法规的规定追</w:t>
      </w:r>
      <w:r w:rsidRPr="00BE7B9B">
        <w:rPr>
          <w:rFonts w:ascii="微软雅黑" w:eastAsia="微软雅黑" w:hAnsi="微软雅黑" w:cs="Arial" w:hint="eastAsia"/>
          <w:kern w:val="0"/>
          <w:sz w:val="22"/>
          <w:szCs w:val="22"/>
        </w:rPr>
        <w:t>究法律责任。</w:t>
      </w: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 xml:space="preserve">　　</w:t>
      </w:r>
      <w:r w:rsidRPr="00BE7B9B">
        <w:rPr>
          <w:rFonts w:ascii="微软雅黑" w:eastAsia="微软雅黑" w:hAnsi="微软雅黑" w:cs="Arial" w:hint="eastAsia"/>
          <w:kern w:val="0"/>
          <w:sz w:val="22"/>
          <w:szCs w:val="22"/>
        </w:rPr>
        <w:t>第十六条</w:t>
      </w:r>
      <w:r w:rsidRPr="00BE7B9B">
        <w:rPr>
          <w:rFonts w:ascii="微软雅黑" w:eastAsia="微软雅黑" w:hAnsi="微软雅黑" w:cs="Arial" w:hint="eastAsia"/>
          <w:kern w:val="0"/>
          <w:sz w:val="22"/>
          <w:szCs w:val="22"/>
        </w:rPr>
        <w:t xml:space="preserve">　本法自</w:t>
      </w:r>
      <w:r w:rsidRPr="00BE7B9B">
        <w:rPr>
          <w:rFonts w:ascii="微软雅黑" w:eastAsia="微软雅黑" w:hAnsi="微软雅黑" w:cs="Arial" w:hint="eastAsia"/>
          <w:kern w:val="0"/>
          <w:sz w:val="22"/>
          <w:szCs w:val="22"/>
        </w:rPr>
        <w:t>2019</w:t>
      </w:r>
      <w:r w:rsidRPr="00BE7B9B">
        <w:rPr>
          <w:rFonts w:ascii="微软雅黑" w:eastAsia="微软雅黑" w:hAnsi="微软雅黑" w:cs="Arial" w:hint="eastAsia"/>
          <w:kern w:val="0"/>
          <w:sz w:val="22"/>
          <w:szCs w:val="22"/>
        </w:rPr>
        <w:t>年</w:t>
      </w:r>
      <w:r w:rsidRPr="00BE7B9B">
        <w:rPr>
          <w:rFonts w:ascii="微软雅黑" w:eastAsia="微软雅黑" w:hAnsi="微软雅黑" w:cs="Arial" w:hint="eastAsia"/>
          <w:kern w:val="0"/>
          <w:sz w:val="22"/>
          <w:szCs w:val="22"/>
        </w:rPr>
        <w:t>9</w:t>
      </w:r>
      <w:r w:rsidRPr="00BE7B9B">
        <w:rPr>
          <w:rFonts w:ascii="微软雅黑" w:eastAsia="微软雅黑" w:hAnsi="微软雅黑" w:cs="Arial" w:hint="eastAsia"/>
          <w:kern w:val="0"/>
          <w:sz w:val="22"/>
          <w:szCs w:val="22"/>
        </w:rPr>
        <w:t>月</w:t>
      </w:r>
      <w:r w:rsidRPr="00BE7B9B">
        <w:rPr>
          <w:rFonts w:ascii="微软雅黑" w:eastAsia="微软雅黑" w:hAnsi="微软雅黑" w:cs="Arial" w:hint="eastAsia"/>
          <w:kern w:val="0"/>
          <w:sz w:val="22"/>
          <w:szCs w:val="22"/>
        </w:rPr>
        <w:t>1</w:t>
      </w:r>
      <w:r w:rsidRPr="00BE7B9B">
        <w:rPr>
          <w:rFonts w:ascii="微软雅黑" w:eastAsia="微软雅黑" w:hAnsi="微软雅黑" w:cs="Arial" w:hint="eastAsia"/>
          <w:kern w:val="0"/>
          <w:sz w:val="22"/>
          <w:szCs w:val="22"/>
        </w:rPr>
        <w:t>日起施行。</w:t>
      </w:r>
      <w:r w:rsidRPr="00BE7B9B">
        <w:rPr>
          <w:rFonts w:ascii="微软雅黑" w:eastAsia="微软雅黑" w:hAnsi="微软雅黑" w:cs="Arial" w:hint="eastAsia"/>
          <w:kern w:val="0"/>
          <w:sz w:val="22"/>
          <w:szCs w:val="22"/>
        </w:rPr>
        <w:t>2007</w:t>
      </w:r>
      <w:r w:rsidRPr="00BE7B9B">
        <w:rPr>
          <w:rFonts w:ascii="微软雅黑" w:eastAsia="微软雅黑" w:hAnsi="微软雅黑" w:cs="Arial" w:hint="eastAsia"/>
          <w:kern w:val="0"/>
          <w:sz w:val="22"/>
          <w:szCs w:val="22"/>
        </w:rPr>
        <w:t>年</w:t>
      </w:r>
      <w:r w:rsidRPr="00BE7B9B">
        <w:rPr>
          <w:rFonts w:ascii="微软雅黑" w:eastAsia="微软雅黑" w:hAnsi="微软雅黑" w:cs="Arial" w:hint="eastAsia"/>
          <w:kern w:val="0"/>
          <w:sz w:val="22"/>
          <w:szCs w:val="22"/>
        </w:rPr>
        <w:t>12</w:t>
      </w:r>
      <w:r w:rsidRPr="00BE7B9B">
        <w:rPr>
          <w:rFonts w:ascii="微软雅黑" w:eastAsia="微软雅黑" w:hAnsi="微软雅黑" w:cs="Arial" w:hint="eastAsia"/>
          <w:kern w:val="0"/>
          <w:sz w:val="22"/>
          <w:szCs w:val="22"/>
        </w:rPr>
        <w:t>月</w:t>
      </w:r>
      <w:r w:rsidRPr="00BE7B9B">
        <w:rPr>
          <w:rFonts w:ascii="微软雅黑" w:eastAsia="微软雅黑" w:hAnsi="微软雅黑" w:cs="Arial" w:hint="eastAsia"/>
          <w:kern w:val="0"/>
          <w:sz w:val="22"/>
          <w:szCs w:val="22"/>
        </w:rPr>
        <w:t>1</w:t>
      </w:r>
      <w:r w:rsidRPr="00BE7B9B">
        <w:rPr>
          <w:rFonts w:ascii="微软雅黑" w:eastAsia="微软雅黑" w:hAnsi="微软雅黑" w:cs="Arial" w:hint="eastAsia"/>
          <w:kern w:val="0"/>
          <w:sz w:val="22"/>
          <w:szCs w:val="22"/>
        </w:rPr>
        <w:t>日国务院公布的《中华人民共和国耕地占用税暂行条例》同时废止。</w:t>
      </w: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lastRenderedPageBreak/>
        <w:t>附：</w:t>
      </w: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各省、自治区、直辖市耕地占用税平均税率表</w:t>
      </w:r>
    </w:p>
    <w:tbl>
      <w:tblPr>
        <w:tblStyle w:val="af"/>
        <w:tblW w:w="8787" w:type="dxa"/>
        <w:jc w:val="center"/>
        <w:tblLayout w:type="fixed"/>
        <w:tblLook w:val="04A0"/>
      </w:tblPr>
      <w:tblGrid>
        <w:gridCol w:w="6596"/>
        <w:gridCol w:w="2191"/>
      </w:tblGrid>
      <w:tr w:rsidR="00F42A07" w:rsidRPr="00BE7B9B">
        <w:trPr>
          <w:trHeight w:hRule="exact" w:val="1134"/>
          <w:jc w:val="center"/>
        </w:trPr>
        <w:tc>
          <w:tcPr>
            <w:tcW w:w="6596"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省、自治区、直辖市</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平均税额</w:t>
            </w:r>
          </w:p>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（元</w:t>
            </w:r>
            <w:r w:rsidRPr="00BE7B9B">
              <w:rPr>
                <w:rFonts w:ascii="微软雅黑" w:eastAsia="微软雅黑" w:hAnsi="微软雅黑" w:cs="Arial" w:hint="eastAsia"/>
                <w:kern w:val="0"/>
                <w:sz w:val="22"/>
                <w:szCs w:val="22"/>
              </w:rPr>
              <w:t>/</w:t>
            </w:r>
            <w:r w:rsidRPr="00BE7B9B">
              <w:rPr>
                <w:rFonts w:ascii="微软雅黑" w:eastAsia="微软雅黑" w:hAnsi="微软雅黑" w:cs="Arial" w:hint="eastAsia"/>
                <w:kern w:val="0"/>
                <w:sz w:val="22"/>
                <w:szCs w:val="22"/>
              </w:rPr>
              <w:t>平方米）</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上海</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45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北京</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40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天津</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35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江苏、浙江、福建、广东</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30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辽宁、湖北、湖南</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河北、安徽、江西、山东、河南、重庆、四川</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22.5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广西、海南、贵州、云南、陕西</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山西、吉林、黑龙江</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17.5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内蒙古、西藏、甘肃、青海、宁夏、新疆</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12.5</w:t>
            </w:r>
          </w:p>
        </w:tc>
      </w:tr>
    </w:tbl>
    <w:p w:rsidR="00F42A07" w:rsidRPr="00BE7B9B" w:rsidRDefault="00F42A07" w:rsidP="00BE7B9B">
      <w:pPr>
        <w:spacing w:line="240" w:lineRule="exact"/>
        <w:rPr>
          <w:rFonts w:ascii="微软雅黑" w:eastAsia="微软雅黑" w:hAnsi="微软雅黑" w:cs="Arial"/>
          <w:kern w:val="0"/>
          <w:sz w:val="22"/>
          <w:szCs w:val="22"/>
        </w:rPr>
      </w:pPr>
      <w:bookmarkStart w:id="0" w:name="_GoBack"/>
      <w:bookmarkEnd w:id="0"/>
    </w:p>
    <w:sectPr w:rsidR="00F42A07" w:rsidRPr="00BE7B9B" w:rsidSect="00BE7B9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24" w:rsidRDefault="00B31C24" w:rsidP="00F42A07">
      <w:r>
        <w:separator/>
      </w:r>
    </w:p>
  </w:endnote>
  <w:endnote w:type="continuationSeparator" w:id="0">
    <w:p w:rsidR="00B31C24" w:rsidRDefault="00B31C24" w:rsidP="00F4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42A07" w:rsidRDefault="00B31C2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42A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42A07">
                  <w:rPr>
                    <w:rFonts w:ascii="宋体" w:eastAsia="宋体" w:hAnsi="宋体" w:cs="宋体" w:hint="eastAsia"/>
                    <w:sz w:val="28"/>
                    <w:szCs w:val="28"/>
                  </w:rPr>
                  <w:fldChar w:fldCharType="separate"/>
                </w:r>
                <w:r w:rsidR="00BE7B9B">
                  <w:rPr>
                    <w:rFonts w:ascii="宋体" w:eastAsia="宋体" w:hAnsi="宋体" w:cs="宋体"/>
                    <w:noProof/>
                    <w:sz w:val="28"/>
                    <w:szCs w:val="28"/>
                  </w:rPr>
                  <w:t>2</w:t>
                </w:r>
                <w:r w:rsidR="00F42A0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42A07" w:rsidRDefault="00B31C2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42A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42A07">
                  <w:rPr>
                    <w:rFonts w:ascii="宋体" w:eastAsia="宋体" w:hAnsi="宋体" w:cs="宋体" w:hint="eastAsia"/>
                    <w:sz w:val="28"/>
                    <w:szCs w:val="28"/>
                  </w:rPr>
                  <w:fldChar w:fldCharType="separate"/>
                </w:r>
                <w:r w:rsidR="00BE7B9B">
                  <w:rPr>
                    <w:rFonts w:ascii="宋体" w:eastAsia="宋体" w:hAnsi="宋体" w:cs="宋体"/>
                    <w:noProof/>
                    <w:sz w:val="28"/>
                    <w:szCs w:val="28"/>
                  </w:rPr>
                  <w:t>2</w:t>
                </w:r>
                <w:r w:rsidR="00F42A0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24" w:rsidRDefault="00B31C24" w:rsidP="00F42A07">
      <w:r>
        <w:separator/>
      </w:r>
    </w:p>
  </w:footnote>
  <w:footnote w:type="continuationSeparator" w:id="0">
    <w:p w:rsidR="00B31C24" w:rsidRDefault="00B31C24" w:rsidP="00F42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31C24"/>
    <w:rsid w:val="00B5205C"/>
    <w:rsid w:val="00B86404"/>
    <w:rsid w:val="00B95A4E"/>
    <w:rsid w:val="00B9697E"/>
    <w:rsid w:val="00BD4FD8"/>
    <w:rsid w:val="00BD5ABA"/>
    <w:rsid w:val="00BE7B9B"/>
    <w:rsid w:val="00C066A8"/>
    <w:rsid w:val="00CE5247"/>
    <w:rsid w:val="00D54AF3"/>
    <w:rsid w:val="00D54B93"/>
    <w:rsid w:val="00D70A89"/>
    <w:rsid w:val="00D76CB4"/>
    <w:rsid w:val="00D84514"/>
    <w:rsid w:val="00DC5C43"/>
    <w:rsid w:val="00DD0B8B"/>
    <w:rsid w:val="00E235DD"/>
    <w:rsid w:val="00E64956"/>
    <w:rsid w:val="00EE4F6D"/>
    <w:rsid w:val="00F00D39"/>
    <w:rsid w:val="00F42A07"/>
    <w:rsid w:val="00FA3C68"/>
    <w:rsid w:val="00FC68C1"/>
    <w:rsid w:val="08210A6D"/>
    <w:rsid w:val="0B957AC8"/>
    <w:rsid w:val="0C4E6F56"/>
    <w:rsid w:val="0D2F2A95"/>
    <w:rsid w:val="19F86B68"/>
    <w:rsid w:val="2F7753E6"/>
    <w:rsid w:val="3258761C"/>
    <w:rsid w:val="44BC0EEC"/>
    <w:rsid w:val="482A39F4"/>
    <w:rsid w:val="56755F92"/>
    <w:rsid w:val="5EA87CFA"/>
    <w:rsid w:val="653A70E2"/>
    <w:rsid w:val="679D13CD"/>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A07"/>
    <w:pPr>
      <w:widowControl w:val="0"/>
      <w:jc w:val="both"/>
    </w:pPr>
    <w:rPr>
      <w:rFonts w:eastAsia="仿宋_GB2312"/>
      <w:kern w:val="2"/>
      <w:sz w:val="32"/>
      <w:szCs w:val="24"/>
    </w:rPr>
  </w:style>
  <w:style w:type="paragraph" w:styleId="1">
    <w:name w:val="heading 1"/>
    <w:basedOn w:val="a"/>
    <w:next w:val="a"/>
    <w:link w:val="1Char"/>
    <w:qFormat/>
    <w:rsid w:val="00F42A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2A0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42A0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42A07"/>
    <w:pPr>
      <w:shd w:val="clear" w:color="auto" w:fill="000080"/>
    </w:pPr>
  </w:style>
  <w:style w:type="paragraph" w:styleId="a4">
    <w:name w:val="Plain Text"/>
    <w:basedOn w:val="a"/>
    <w:link w:val="Char"/>
    <w:uiPriority w:val="99"/>
    <w:unhideWhenUsed/>
    <w:qFormat/>
    <w:rsid w:val="00F42A07"/>
    <w:rPr>
      <w:rFonts w:ascii="宋体" w:eastAsia="宋体" w:hAnsi="Courier New"/>
      <w:sz w:val="21"/>
      <w:szCs w:val="21"/>
    </w:rPr>
  </w:style>
  <w:style w:type="paragraph" w:styleId="a5">
    <w:name w:val="Balloon Text"/>
    <w:basedOn w:val="a"/>
    <w:semiHidden/>
    <w:qFormat/>
    <w:rsid w:val="00F42A07"/>
    <w:rPr>
      <w:sz w:val="18"/>
      <w:szCs w:val="18"/>
    </w:rPr>
  </w:style>
  <w:style w:type="paragraph" w:styleId="a6">
    <w:name w:val="footer"/>
    <w:basedOn w:val="a"/>
    <w:link w:val="Char0"/>
    <w:uiPriority w:val="99"/>
    <w:qFormat/>
    <w:rsid w:val="00F42A07"/>
    <w:pPr>
      <w:tabs>
        <w:tab w:val="center" w:pos="4153"/>
        <w:tab w:val="right" w:pos="8306"/>
      </w:tabs>
      <w:snapToGrid w:val="0"/>
      <w:jc w:val="left"/>
    </w:pPr>
    <w:rPr>
      <w:sz w:val="18"/>
      <w:szCs w:val="18"/>
    </w:rPr>
  </w:style>
  <w:style w:type="paragraph" w:styleId="a7">
    <w:name w:val="header"/>
    <w:basedOn w:val="a"/>
    <w:link w:val="Char1"/>
    <w:uiPriority w:val="99"/>
    <w:qFormat/>
    <w:rsid w:val="00F42A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42A07"/>
  </w:style>
  <w:style w:type="paragraph" w:styleId="a8">
    <w:name w:val="Subtitle"/>
    <w:basedOn w:val="a"/>
    <w:next w:val="a"/>
    <w:link w:val="Char2"/>
    <w:qFormat/>
    <w:rsid w:val="00F42A0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42A07"/>
    <w:pPr>
      <w:ind w:leftChars="200" w:left="420"/>
    </w:pPr>
  </w:style>
  <w:style w:type="paragraph" w:styleId="a9">
    <w:name w:val="Title"/>
    <w:basedOn w:val="a"/>
    <w:next w:val="a"/>
    <w:link w:val="Char3"/>
    <w:qFormat/>
    <w:rsid w:val="00F42A07"/>
    <w:pPr>
      <w:spacing w:before="240" w:after="60"/>
      <w:jc w:val="center"/>
      <w:outlineLvl w:val="0"/>
    </w:pPr>
    <w:rPr>
      <w:rFonts w:ascii="Cambria" w:eastAsia="宋体" w:hAnsi="Cambria"/>
      <w:b/>
      <w:bCs/>
      <w:szCs w:val="32"/>
    </w:rPr>
  </w:style>
  <w:style w:type="character" w:styleId="aa">
    <w:name w:val="Strong"/>
    <w:qFormat/>
    <w:rsid w:val="00F42A07"/>
    <w:rPr>
      <w:b/>
      <w:bCs/>
    </w:rPr>
  </w:style>
  <w:style w:type="character" w:styleId="ab">
    <w:name w:val="page number"/>
    <w:basedOn w:val="a0"/>
    <w:qFormat/>
    <w:rsid w:val="00F42A07"/>
  </w:style>
  <w:style w:type="character" w:styleId="ac">
    <w:name w:val="FollowedHyperlink"/>
    <w:qFormat/>
    <w:rsid w:val="00F42A07"/>
    <w:rPr>
      <w:color w:val="800080"/>
      <w:u w:val="single"/>
    </w:rPr>
  </w:style>
  <w:style w:type="character" w:styleId="ad">
    <w:name w:val="Emphasis"/>
    <w:qFormat/>
    <w:rsid w:val="00F42A07"/>
    <w:rPr>
      <w:i/>
      <w:iCs/>
    </w:rPr>
  </w:style>
  <w:style w:type="character" w:styleId="ae">
    <w:name w:val="Hyperlink"/>
    <w:uiPriority w:val="99"/>
    <w:qFormat/>
    <w:rsid w:val="00F42A07"/>
    <w:rPr>
      <w:rFonts w:ascii="ˎ̥" w:hAnsi="ˎ̥" w:hint="default"/>
      <w:color w:val="0404B3"/>
      <w:sz w:val="18"/>
      <w:szCs w:val="18"/>
      <w:u w:val="none"/>
    </w:rPr>
  </w:style>
  <w:style w:type="table" w:styleId="af">
    <w:name w:val="Table Grid"/>
    <w:basedOn w:val="a1"/>
    <w:rsid w:val="00F42A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F42A0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42A0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42A07"/>
    <w:rPr>
      <w:rFonts w:eastAsia="仿宋_GB2312"/>
      <w:kern w:val="2"/>
      <w:sz w:val="18"/>
      <w:szCs w:val="18"/>
    </w:rPr>
  </w:style>
  <w:style w:type="character" w:customStyle="1" w:styleId="Char">
    <w:name w:val="纯文本 Char"/>
    <w:link w:val="a4"/>
    <w:uiPriority w:val="99"/>
    <w:qFormat/>
    <w:rsid w:val="00F42A07"/>
    <w:rPr>
      <w:rFonts w:ascii="宋体" w:hAnsi="Courier New" w:cs="Courier New"/>
      <w:kern w:val="2"/>
      <w:sz w:val="21"/>
      <w:szCs w:val="21"/>
    </w:rPr>
  </w:style>
  <w:style w:type="character" w:customStyle="1" w:styleId="Char10">
    <w:name w:val="纯文本 Char1"/>
    <w:qFormat/>
    <w:rsid w:val="00F42A07"/>
    <w:rPr>
      <w:rFonts w:ascii="宋体" w:hAnsi="Courier New" w:cs="Courier New"/>
      <w:kern w:val="2"/>
      <w:sz w:val="21"/>
      <w:szCs w:val="21"/>
    </w:rPr>
  </w:style>
  <w:style w:type="character" w:customStyle="1" w:styleId="Char2">
    <w:name w:val="副标题 Char"/>
    <w:link w:val="a8"/>
    <w:qFormat/>
    <w:rsid w:val="00F42A07"/>
    <w:rPr>
      <w:rFonts w:ascii="Cambria" w:hAnsi="Cambria" w:cs="Times New Roman"/>
      <w:b/>
      <w:bCs/>
      <w:kern w:val="28"/>
      <w:sz w:val="32"/>
      <w:szCs w:val="32"/>
    </w:rPr>
  </w:style>
  <w:style w:type="character" w:customStyle="1" w:styleId="1Char">
    <w:name w:val="标题 1 Char"/>
    <w:link w:val="1"/>
    <w:qFormat/>
    <w:rsid w:val="00F42A07"/>
    <w:rPr>
      <w:rFonts w:eastAsia="仿宋_GB2312"/>
      <w:b/>
      <w:bCs/>
      <w:kern w:val="44"/>
      <w:sz w:val="44"/>
      <w:szCs w:val="44"/>
    </w:rPr>
  </w:style>
  <w:style w:type="character" w:customStyle="1" w:styleId="Char3">
    <w:name w:val="标题 Char"/>
    <w:link w:val="a9"/>
    <w:qFormat/>
    <w:rsid w:val="00F42A07"/>
    <w:rPr>
      <w:rFonts w:ascii="Cambria" w:hAnsi="Cambria" w:cs="Times New Roman"/>
      <w:b/>
      <w:bCs/>
      <w:kern w:val="2"/>
      <w:sz w:val="32"/>
      <w:szCs w:val="32"/>
    </w:rPr>
  </w:style>
  <w:style w:type="character" w:customStyle="1" w:styleId="11Char">
    <w:name w:val="1.1 Char"/>
    <w:link w:val="11"/>
    <w:qFormat/>
    <w:rsid w:val="00F42A07"/>
    <w:rPr>
      <w:rFonts w:ascii="Calibri" w:hAnsi="Calibri"/>
      <w:b/>
      <w:bCs/>
      <w:kern w:val="2"/>
      <w:sz w:val="30"/>
      <w:szCs w:val="32"/>
    </w:rPr>
  </w:style>
  <w:style w:type="character" w:customStyle="1" w:styleId="3Char">
    <w:name w:val="标题 3 Char"/>
    <w:link w:val="3"/>
    <w:semiHidden/>
    <w:qFormat/>
    <w:rsid w:val="00F42A07"/>
    <w:rPr>
      <w:rFonts w:eastAsia="仿宋_GB2312"/>
      <w:b/>
      <w:bCs/>
      <w:kern w:val="2"/>
      <w:sz w:val="32"/>
      <w:szCs w:val="32"/>
    </w:rPr>
  </w:style>
  <w:style w:type="character" w:customStyle="1" w:styleId="2Char">
    <w:name w:val="标题 2 Char"/>
    <w:link w:val="2"/>
    <w:uiPriority w:val="9"/>
    <w:qFormat/>
    <w:rsid w:val="00F42A07"/>
    <w:rPr>
      <w:rFonts w:ascii="Cambria" w:hAnsi="Cambria"/>
      <w:b/>
      <w:bCs/>
      <w:kern w:val="2"/>
      <w:sz w:val="32"/>
      <w:szCs w:val="32"/>
    </w:rPr>
  </w:style>
  <w:style w:type="character" w:customStyle="1" w:styleId="Char0">
    <w:name w:val="页脚 Char"/>
    <w:link w:val="a6"/>
    <w:uiPriority w:val="99"/>
    <w:qFormat/>
    <w:rsid w:val="00F42A0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335</Words>
  <Characters>1915</Characters>
  <Application>Microsoft Office Word</Application>
  <DocSecurity>0</DocSecurity>
  <Lines>15</Lines>
  <Paragraphs>4</Paragraphs>
  <ScaleCrop>false</ScaleCrop>
  <Company>Lenovo</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