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074C12" w:rsidP="00074C12">
      <w:pPr>
        <w:spacing w:line="500" w:lineRule="exact"/>
        <w:jc w:val="center"/>
        <w:rPr>
          <w:rFonts w:ascii="微软雅黑" w:eastAsia="微软雅黑" w:hAnsi="微软雅黑" w:cs="宋体"/>
          <w:b/>
          <w:color w:val="FF0000"/>
          <w:kern w:val="0"/>
          <w:sz w:val="40"/>
          <w:szCs w:val="40"/>
        </w:rPr>
      </w:pPr>
      <w:r w:rsidRPr="00074C12">
        <w:rPr>
          <w:rFonts w:ascii="微软雅黑" w:eastAsia="微软雅黑" w:hAnsi="微软雅黑" w:cs="宋体" w:hint="eastAsia"/>
          <w:b/>
          <w:color w:val="FF0000"/>
          <w:kern w:val="0"/>
          <w:sz w:val="40"/>
          <w:szCs w:val="40"/>
        </w:rPr>
        <w:t>《</w:t>
      </w:r>
      <w:r w:rsidR="00C268BE" w:rsidRPr="00074C12">
        <w:rPr>
          <w:rFonts w:ascii="微软雅黑" w:eastAsia="微软雅黑" w:hAnsi="微软雅黑" w:cs="宋体" w:hint="eastAsia"/>
          <w:b/>
          <w:color w:val="FF0000"/>
          <w:kern w:val="0"/>
          <w:sz w:val="40"/>
          <w:szCs w:val="40"/>
        </w:rPr>
        <w:t>中华人民共和国国境卫生检疫法</w:t>
      </w:r>
      <w:r w:rsidRPr="00074C12">
        <w:rPr>
          <w:rFonts w:ascii="微软雅黑" w:eastAsia="微软雅黑" w:hAnsi="微软雅黑" w:cs="宋体" w:hint="eastAsia"/>
          <w:b/>
          <w:color w:val="FF0000"/>
          <w:kern w:val="0"/>
          <w:sz w:val="40"/>
          <w:szCs w:val="40"/>
        </w:rPr>
        <w:t>》</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ind w:leftChars="200" w:left="640" w:rightChars="200" w:right="640"/>
        <w:rPr>
          <w:rFonts w:ascii="微软雅黑" w:eastAsia="微软雅黑" w:hAnsi="微软雅黑" w:cs="楷体_GB2312"/>
          <w:kern w:val="0"/>
          <w:sz w:val="22"/>
          <w:szCs w:val="22"/>
        </w:rPr>
      </w:pPr>
      <w:r w:rsidRPr="00074C12">
        <w:rPr>
          <w:rFonts w:ascii="微软雅黑" w:eastAsia="微软雅黑" w:hAnsi="微软雅黑" w:cs="楷体_GB2312" w:hint="eastAsia"/>
          <w:kern w:val="0"/>
          <w:sz w:val="22"/>
          <w:szCs w:val="22"/>
        </w:rPr>
        <w:t>（</w:t>
      </w:r>
      <w:r w:rsidRPr="00074C12">
        <w:rPr>
          <w:rFonts w:ascii="微软雅黑" w:eastAsia="微软雅黑" w:hAnsi="微软雅黑" w:cs="楷体_GB2312" w:hint="eastAsia"/>
          <w:kern w:val="0"/>
          <w:sz w:val="22"/>
          <w:szCs w:val="22"/>
        </w:rPr>
        <w:t>1986</w:t>
      </w:r>
      <w:r w:rsidRPr="00074C12">
        <w:rPr>
          <w:rFonts w:ascii="微软雅黑" w:eastAsia="微软雅黑" w:hAnsi="微软雅黑" w:cs="楷体_GB2312" w:hint="eastAsia"/>
          <w:kern w:val="0"/>
          <w:sz w:val="22"/>
          <w:szCs w:val="22"/>
        </w:rPr>
        <w:t>年</w:t>
      </w:r>
      <w:r w:rsidRPr="00074C12">
        <w:rPr>
          <w:rFonts w:ascii="微软雅黑" w:eastAsia="微软雅黑" w:hAnsi="微软雅黑" w:cs="楷体_GB2312" w:hint="eastAsia"/>
          <w:kern w:val="0"/>
          <w:sz w:val="22"/>
          <w:szCs w:val="22"/>
        </w:rPr>
        <w:t>12</w:t>
      </w:r>
      <w:r w:rsidRPr="00074C12">
        <w:rPr>
          <w:rFonts w:ascii="微软雅黑" w:eastAsia="微软雅黑" w:hAnsi="微软雅黑" w:cs="楷体_GB2312" w:hint="eastAsia"/>
          <w:kern w:val="0"/>
          <w:sz w:val="22"/>
          <w:szCs w:val="22"/>
        </w:rPr>
        <w:t>月</w:t>
      </w:r>
      <w:r w:rsidRPr="00074C12">
        <w:rPr>
          <w:rFonts w:ascii="微软雅黑" w:eastAsia="微软雅黑" w:hAnsi="微软雅黑" w:cs="楷体_GB2312" w:hint="eastAsia"/>
          <w:kern w:val="0"/>
          <w:sz w:val="22"/>
          <w:szCs w:val="22"/>
        </w:rPr>
        <w:t>2</w:t>
      </w:r>
      <w:r w:rsidRPr="00074C12">
        <w:rPr>
          <w:rFonts w:ascii="微软雅黑" w:eastAsia="微软雅黑" w:hAnsi="微软雅黑" w:cs="楷体_GB2312" w:hint="eastAsia"/>
          <w:kern w:val="0"/>
          <w:sz w:val="22"/>
          <w:szCs w:val="22"/>
        </w:rPr>
        <w:t>日第六届全国人民代表大会常务委员会第十八次会议通过　根据</w:t>
      </w:r>
      <w:r w:rsidRPr="00074C12">
        <w:rPr>
          <w:rFonts w:ascii="微软雅黑" w:eastAsia="微软雅黑" w:hAnsi="微软雅黑" w:cs="楷体_GB2312" w:hint="eastAsia"/>
          <w:kern w:val="0"/>
          <w:sz w:val="22"/>
          <w:szCs w:val="22"/>
        </w:rPr>
        <w:t>2007</w:t>
      </w:r>
      <w:r w:rsidRPr="00074C12">
        <w:rPr>
          <w:rFonts w:ascii="微软雅黑" w:eastAsia="微软雅黑" w:hAnsi="微软雅黑" w:cs="楷体_GB2312" w:hint="eastAsia"/>
          <w:kern w:val="0"/>
          <w:sz w:val="22"/>
          <w:szCs w:val="22"/>
        </w:rPr>
        <w:t>年</w:t>
      </w:r>
      <w:r w:rsidRPr="00074C12">
        <w:rPr>
          <w:rFonts w:ascii="微软雅黑" w:eastAsia="微软雅黑" w:hAnsi="微软雅黑" w:cs="楷体_GB2312" w:hint="eastAsia"/>
          <w:kern w:val="0"/>
          <w:sz w:val="22"/>
          <w:szCs w:val="22"/>
        </w:rPr>
        <w:t>12</w:t>
      </w:r>
      <w:r w:rsidRPr="00074C12">
        <w:rPr>
          <w:rFonts w:ascii="微软雅黑" w:eastAsia="微软雅黑" w:hAnsi="微软雅黑" w:cs="楷体_GB2312" w:hint="eastAsia"/>
          <w:kern w:val="0"/>
          <w:sz w:val="22"/>
          <w:szCs w:val="22"/>
        </w:rPr>
        <w:t>月</w:t>
      </w:r>
      <w:r w:rsidRPr="00074C12">
        <w:rPr>
          <w:rFonts w:ascii="微软雅黑" w:eastAsia="微软雅黑" w:hAnsi="微软雅黑" w:cs="楷体_GB2312" w:hint="eastAsia"/>
          <w:kern w:val="0"/>
          <w:sz w:val="22"/>
          <w:szCs w:val="22"/>
        </w:rPr>
        <w:t>29</w:t>
      </w:r>
      <w:r w:rsidRPr="00074C12">
        <w:rPr>
          <w:rFonts w:ascii="微软雅黑" w:eastAsia="微软雅黑" w:hAnsi="微软雅黑" w:cs="楷体_GB2312" w:hint="eastAsia"/>
          <w:kern w:val="0"/>
          <w:sz w:val="22"/>
          <w:szCs w:val="22"/>
        </w:rPr>
        <w:t>日第十届全国人民代表大会常务委员会第三十一次会议《关于修改</w:t>
      </w:r>
      <w:r w:rsidRPr="00074C12">
        <w:rPr>
          <w:rFonts w:ascii="微软雅黑" w:eastAsia="微软雅黑" w:hAnsi="微软雅黑" w:cs="楷体_GB2312" w:hint="eastAsia"/>
          <w:kern w:val="0"/>
          <w:sz w:val="22"/>
          <w:szCs w:val="22"/>
        </w:rPr>
        <w:t>&lt;</w:t>
      </w:r>
      <w:r w:rsidRPr="00074C12">
        <w:rPr>
          <w:rFonts w:ascii="微软雅黑" w:eastAsia="微软雅黑" w:hAnsi="微软雅黑" w:cs="楷体_GB2312" w:hint="eastAsia"/>
          <w:kern w:val="0"/>
          <w:sz w:val="22"/>
          <w:szCs w:val="22"/>
        </w:rPr>
        <w:t>中华人民共和国国境卫生检疫法</w:t>
      </w:r>
      <w:r w:rsidRPr="00074C12">
        <w:rPr>
          <w:rFonts w:ascii="微软雅黑" w:eastAsia="微软雅黑" w:hAnsi="微软雅黑" w:cs="楷体_GB2312" w:hint="eastAsia"/>
          <w:kern w:val="0"/>
          <w:sz w:val="22"/>
          <w:szCs w:val="22"/>
        </w:rPr>
        <w:t>&gt;</w:t>
      </w:r>
      <w:r w:rsidRPr="00074C12">
        <w:rPr>
          <w:rFonts w:ascii="微软雅黑" w:eastAsia="微软雅黑" w:hAnsi="微软雅黑" w:cs="楷体_GB2312" w:hint="eastAsia"/>
          <w:kern w:val="0"/>
          <w:sz w:val="22"/>
          <w:szCs w:val="22"/>
        </w:rPr>
        <w:t>的决定》第一次修正　根据</w:t>
      </w:r>
      <w:r w:rsidRPr="00074C12">
        <w:rPr>
          <w:rFonts w:ascii="微软雅黑" w:eastAsia="微软雅黑" w:hAnsi="微软雅黑" w:cs="楷体_GB2312" w:hint="eastAsia"/>
          <w:kern w:val="0"/>
          <w:sz w:val="22"/>
          <w:szCs w:val="22"/>
        </w:rPr>
        <w:t>2009</w:t>
      </w:r>
      <w:r w:rsidRPr="00074C12">
        <w:rPr>
          <w:rFonts w:ascii="微软雅黑" w:eastAsia="微软雅黑" w:hAnsi="微软雅黑" w:cs="楷体_GB2312" w:hint="eastAsia"/>
          <w:kern w:val="0"/>
          <w:sz w:val="22"/>
          <w:szCs w:val="22"/>
        </w:rPr>
        <w:t>年</w:t>
      </w:r>
      <w:r w:rsidRPr="00074C12">
        <w:rPr>
          <w:rFonts w:ascii="微软雅黑" w:eastAsia="微软雅黑" w:hAnsi="微软雅黑" w:cs="楷体_GB2312" w:hint="eastAsia"/>
          <w:kern w:val="0"/>
          <w:sz w:val="22"/>
          <w:szCs w:val="22"/>
        </w:rPr>
        <w:t>8</w:t>
      </w:r>
      <w:r w:rsidRPr="00074C12">
        <w:rPr>
          <w:rFonts w:ascii="微软雅黑" w:eastAsia="微软雅黑" w:hAnsi="微软雅黑" w:cs="楷体_GB2312" w:hint="eastAsia"/>
          <w:kern w:val="0"/>
          <w:sz w:val="22"/>
          <w:szCs w:val="22"/>
        </w:rPr>
        <w:t>月</w:t>
      </w:r>
      <w:r w:rsidRPr="00074C12">
        <w:rPr>
          <w:rFonts w:ascii="微软雅黑" w:eastAsia="微软雅黑" w:hAnsi="微软雅黑" w:cs="楷体_GB2312" w:hint="eastAsia"/>
          <w:kern w:val="0"/>
          <w:sz w:val="22"/>
          <w:szCs w:val="22"/>
        </w:rPr>
        <w:t>27</w:t>
      </w:r>
      <w:r w:rsidRPr="00074C12">
        <w:rPr>
          <w:rFonts w:ascii="微软雅黑" w:eastAsia="微软雅黑" w:hAnsi="微软雅黑" w:cs="楷体_GB2312" w:hint="eastAsia"/>
          <w:kern w:val="0"/>
          <w:sz w:val="22"/>
          <w:szCs w:val="22"/>
        </w:rPr>
        <w:t>日第十一届全国人民代表大会常务委员会第十次会议《关于修改部分法律的决定》第二次修正　根据</w:t>
      </w:r>
      <w:r w:rsidRPr="00074C12">
        <w:rPr>
          <w:rFonts w:ascii="微软雅黑" w:eastAsia="微软雅黑" w:hAnsi="微软雅黑" w:cs="楷体_GB2312" w:hint="eastAsia"/>
          <w:kern w:val="0"/>
          <w:sz w:val="22"/>
          <w:szCs w:val="22"/>
        </w:rPr>
        <w:t>2018</w:t>
      </w:r>
      <w:r w:rsidRPr="00074C12">
        <w:rPr>
          <w:rFonts w:ascii="微软雅黑" w:eastAsia="微软雅黑" w:hAnsi="微软雅黑" w:cs="楷体_GB2312" w:hint="eastAsia"/>
          <w:kern w:val="0"/>
          <w:sz w:val="22"/>
          <w:szCs w:val="22"/>
        </w:rPr>
        <w:t>年</w:t>
      </w:r>
      <w:r w:rsidRPr="00074C12">
        <w:rPr>
          <w:rFonts w:ascii="微软雅黑" w:eastAsia="微软雅黑" w:hAnsi="微软雅黑" w:cs="楷体_GB2312" w:hint="eastAsia"/>
          <w:kern w:val="0"/>
          <w:sz w:val="22"/>
          <w:szCs w:val="22"/>
        </w:rPr>
        <w:t>4</w:t>
      </w:r>
      <w:r w:rsidRPr="00074C12">
        <w:rPr>
          <w:rFonts w:ascii="微软雅黑" w:eastAsia="微软雅黑" w:hAnsi="微软雅黑" w:cs="楷体_GB2312" w:hint="eastAsia"/>
          <w:kern w:val="0"/>
          <w:sz w:val="22"/>
          <w:szCs w:val="22"/>
        </w:rPr>
        <w:t>月</w:t>
      </w:r>
      <w:r w:rsidRPr="00074C12">
        <w:rPr>
          <w:rFonts w:ascii="微软雅黑" w:eastAsia="微软雅黑" w:hAnsi="微软雅黑" w:cs="楷体_GB2312" w:hint="eastAsia"/>
          <w:kern w:val="0"/>
          <w:sz w:val="22"/>
          <w:szCs w:val="22"/>
        </w:rPr>
        <w:t>27</w:t>
      </w:r>
      <w:r w:rsidRPr="00074C12">
        <w:rPr>
          <w:rFonts w:ascii="微软雅黑" w:eastAsia="微软雅黑" w:hAnsi="微软雅黑" w:cs="楷体_GB2312" w:hint="eastAsia"/>
          <w:kern w:val="0"/>
          <w:sz w:val="22"/>
          <w:szCs w:val="22"/>
        </w:rPr>
        <w:t>日第十三届全国人民代表大会常务委员会第二次会议《关于修改</w:t>
      </w:r>
      <w:r w:rsidRPr="00074C12">
        <w:rPr>
          <w:rFonts w:ascii="微软雅黑" w:eastAsia="微软雅黑" w:hAnsi="微软雅黑" w:cs="楷体_GB2312" w:hint="eastAsia"/>
          <w:kern w:val="0"/>
          <w:sz w:val="22"/>
          <w:szCs w:val="22"/>
        </w:rPr>
        <w:t>&lt;</w:t>
      </w:r>
      <w:r w:rsidRPr="00074C12">
        <w:rPr>
          <w:rFonts w:ascii="微软雅黑" w:eastAsia="微软雅黑" w:hAnsi="微软雅黑" w:cs="楷体_GB2312" w:hint="eastAsia"/>
          <w:kern w:val="0"/>
          <w:sz w:val="22"/>
          <w:szCs w:val="22"/>
        </w:rPr>
        <w:t>中华人民共和国国境卫生检疫法</w:t>
      </w:r>
      <w:r w:rsidRPr="00074C12">
        <w:rPr>
          <w:rFonts w:ascii="微软雅黑" w:eastAsia="微软雅黑" w:hAnsi="微软雅黑" w:cs="楷体_GB2312" w:hint="eastAsia"/>
          <w:kern w:val="0"/>
          <w:sz w:val="22"/>
          <w:szCs w:val="22"/>
        </w:rPr>
        <w:t>&gt;</w:t>
      </w:r>
      <w:r w:rsidRPr="00074C12">
        <w:rPr>
          <w:rFonts w:ascii="微软雅黑" w:eastAsia="微软雅黑" w:hAnsi="微软雅黑" w:cs="楷体_GB2312" w:hint="eastAsia"/>
          <w:kern w:val="0"/>
          <w:sz w:val="22"/>
          <w:szCs w:val="22"/>
        </w:rPr>
        <w:t>等六部法律的决定》第三次修正）</w:t>
      </w:r>
    </w:p>
    <w:p w:rsidR="00A94AA5" w:rsidRPr="00074C12" w:rsidRDefault="00A94AA5" w:rsidP="00074C12">
      <w:pPr>
        <w:spacing w:line="240" w:lineRule="exact"/>
        <w:rPr>
          <w:rFonts w:ascii="微软雅黑" w:eastAsia="微软雅黑" w:hAnsi="微软雅黑" w:cs="宋体"/>
          <w:kern w:val="0"/>
          <w:sz w:val="22"/>
          <w:szCs w:val="22"/>
        </w:rPr>
      </w:pPr>
      <w:bookmarkStart w:id="0" w:name="_GoBack"/>
      <w:bookmarkEnd w:id="0"/>
    </w:p>
    <w:p w:rsidR="00A94AA5" w:rsidRPr="00074C12" w:rsidRDefault="00C268BE" w:rsidP="00074C12">
      <w:pPr>
        <w:spacing w:line="240" w:lineRule="exact"/>
        <w:jc w:val="center"/>
        <w:rPr>
          <w:rFonts w:ascii="微软雅黑" w:eastAsia="微软雅黑" w:hAnsi="微软雅黑" w:cs="楷体_GB2312"/>
          <w:kern w:val="0"/>
          <w:sz w:val="22"/>
          <w:szCs w:val="22"/>
        </w:rPr>
      </w:pPr>
      <w:r w:rsidRPr="00074C12">
        <w:rPr>
          <w:rFonts w:ascii="微软雅黑" w:eastAsia="微软雅黑" w:hAnsi="微软雅黑" w:cs="楷体_GB2312" w:hint="eastAsia"/>
          <w:kern w:val="0"/>
          <w:sz w:val="22"/>
          <w:szCs w:val="22"/>
        </w:rPr>
        <w:t>目　　录</w:t>
      </w:r>
    </w:p>
    <w:p w:rsidR="00A94AA5" w:rsidRPr="00074C12" w:rsidRDefault="00C268BE" w:rsidP="00074C12">
      <w:pPr>
        <w:spacing w:line="240" w:lineRule="exact"/>
        <w:rPr>
          <w:rFonts w:ascii="微软雅黑" w:eastAsia="微软雅黑" w:hAnsi="微软雅黑" w:cs="宋体"/>
          <w:kern w:val="0"/>
          <w:sz w:val="22"/>
          <w:szCs w:val="22"/>
        </w:rPr>
      </w:pPr>
      <w:r w:rsidRPr="00074C12">
        <w:rPr>
          <w:rFonts w:ascii="微软雅黑" w:eastAsia="微软雅黑" w:hAnsi="微软雅黑" w:cs="宋体" w:hint="eastAsia"/>
          <w:kern w:val="0"/>
          <w:sz w:val="22"/>
          <w:szCs w:val="22"/>
        </w:rPr>
        <w:t xml:space="preserve">　　</w:t>
      </w:r>
      <w:r w:rsidRPr="00074C12">
        <w:rPr>
          <w:rFonts w:ascii="微软雅黑" w:eastAsia="微软雅黑" w:hAnsi="微软雅黑" w:cs="楷体_GB2312" w:hint="eastAsia"/>
          <w:kern w:val="0"/>
          <w:sz w:val="22"/>
          <w:szCs w:val="22"/>
        </w:rPr>
        <w:t>第一章　总则</w:t>
      </w:r>
    </w:p>
    <w:p w:rsidR="00A94AA5" w:rsidRPr="00074C12" w:rsidRDefault="00C268BE" w:rsidP="00074C12">
      <w:pPr>
        <w:spacing w:line="240" w:lineRule="exact"/>
        <w:rPr>
          <w:rFonts w:ascii="微软雅黑" w:eastAsia="微软雅黑" w:hAnsi="微软雅黑" w:cs="宋体"/>
          <w:kern w:val="0"/>
          <w:sz w:val="22"/>
          <w:szCs w:val="22"/>
        </w:rPr>
      </w:pPr>
      <w:r w:rsidRPr="00074C12">
        <w:rPr>
          <w:rFonts w:ascii="微软雅黑" w:eastAsia="微软雅黑" w:hAnsi="微软雅黑" w:cs="宋体" w:hint="eastAsia"/>
          <w:kern w:val="0"/>
          <w:sz w:val="22"/>
          <w:szCs w:val="22"/>
        </w:rPr>
        <w:t xml:space="preserve">　　</w:t>
      </w:r>
      <w:r w:rsidRPr="00074C12">
        <w:rPr>
          <w:rFonts w:ascii="微软雅黑" w:eastAsia="微软雅黑" w:hAnsi="微软雅黑" w:cs="楷体_GB2312" w:hint="eastAsia"/>
          <w:kern w:val="0"/>
          <w:sz w:val="22"/>
          <w:szCs w:val="22"/>
        </w:rPr>
        <w:t>第二章　检疫</w:t>
      </w:r>
    </w:p>
    <w:p w:rsidR="00A94AA5" w:rsidRPr="00074C12" w:rsidRDefault="00C268BE" w:rsidP="00074C12">
      <w:pPr>
        <w:spacing w:line="240" w:lineRule="exact"/>
        <w:rPr>
          <w:rFonts w:ascii="微软雅黑" w:eastAsia="微软雅黑" w:hAnsi="微软雅黑" w:cs="宋体"/>
          <w:kern w:val="0"/>
          <w:sz w:val="22"/>
          <w:szCs w:val="22"/>
        </w:rPr>
      </w:pPr>
      <w:r w:rsidRPr="00074C12">
        <w:rPr>
          <w:rFonts w:ascii="微软雅黑" w:eastAsia="微软雅黑" w:hAnsi="微软雅黑" w:cs="宋体" w:hint="eastAsia"/>
          <w:kern w:val="0"/>
          <w:sz w:val="22"/>
          <w:szCs w:val="22"/>
        </w:rPr>
        <w:t xml:space="preserve">　　</w:t>
      </w:r>
      <w:r w:rsidRPr="00074C12">
        <w:rPr>
          <w:rFonts w:ascii="微软雅黑" w:eastAsia="微软雅黑" w:hAnsi="微软雅黑" w:cs="楷体_GB2312" w:hint="eastAsia"/>
          <w:kern w:val="0"/>
          <w:sz w:val="22"/>
          <w:szCs w:val="22"/>
        </w:rPr>
        <w:t>第三章　传染病监测</w:t>
      </w:r>
    </w:p>
    <w:p w:rsidR="00A94AA5" w:rsidRPr="00074C12" w:rsidRDefault="00C268BE" w:rsidP="00074C12">
      <w:pPr>
        <w:spacing w:line="240" w:lineRule="exact"/>
        <w:rPr>
          <w:rFonts w:ascii="微软雅黑" w:eastAsia="微软雅黑" w:hAnsi="微软雅黑" w:cs="宋体"/>
          <w:kern w:val="0"/>
          <w:sz w:val="22"/>
          <w:szCs w:val="22"/>
        </w:rPr>
      </w:pPr>
      <w:r w:rsidRPr="00074C12">
        <w:rPr>
          <w:rFonts w:ascii="微软雅黑" w:eastAsia="微软雅黑" w:hAnsi="微软雅黑" w:cs="宋体" w:hint="eastAsia"/>
          <w:kern w:val="0"/>
          <w:sz w:val="22"/>
          <w:szCs w:val="22"/>
        </w:rPr>
        <w:t xml:space="preserve">　　</w:t>
      </w:r>
      <w:r w:rsidRPr="00074C12">
        <w:rPr>
          <w:rFonts w:ascii="微软雅黑" w:eastAsia="微软雅黑" w:hAnsi="微软雅黑" w:cs="楷体_GB2312" w:hint="eastAsia"/>
          <w:kern w:val="0"/>
          <w:sz w:val="22"/>
          <w:szCs w:val="22"/>
        </w:rPr>
        <w:t>第四章　卫生监督</w:t>
      </w:r>
    </w:p>
    <w:p w:rsidR="00A94AA5" w:rsidRPr="00074C12" w:rsidRDefault="00C268BE" w:rsidP="00074C12">
      <w:pPr>
        <w:spacing w:line="240" w:lineRule="exact"/>
        <w:rPr>
          <w:rFonts w:ascii="微软雅黑" w:eastAsia="微软雅黑" w:hAnsi="微软雅黑" w:cs="宋体"/>
          <w:kern w:val="0"/>
          <w:sz w:val="22"/>
          <w:szCs w:val="22"/>
        </w:rPr>
      </w:pPr>
      <w:r w:rsidRPr="00074C12">
        <w:rPr>
          <w:rFonts w:ascii="微软雅黑" w:eastAsia="微软雅黑" w:hAnsi="微软雅黑" w:cs="宋体" w:hint="eastAsia"/>
          <w:kern w:val="0"/>
          <w:sz w:val="22"/>
          <w:szCs w:val="22"/>
        </w:rPr>
        <w:t xml:space="preserve">　　</w:t>
      </w:r>
      <w:r w:rsidRPr="00074C12">
        <w:rPr>
          <w:rFonts w:ascii="微软雅黑" w:eastAsia="微软雅黑" w:hAnsi="微软雅黑" w:cs="楷体_GB2312" w:hint="eastAsia"/>
          <w:kern w:val="0"/>
          <w:sz w:val="22"/>
          <w:szCs w:val="22"/>
        </w:rPr>
        <w:t>第五章　法律责任</w:t>
      </w:r>
    </w:p>
    <w:p w:rsidR="00A94AA5" w:rsidRPr="00074C12" w:rsidRDefault="00C268BE" w:rsidP="00074C12">
      <w:pPr>
        <w:spacing w:line="240" w:lineRule="exact"/>
        <w:rPr>
          <w:rFonts w:ascii="微软雅黑" w:eastAsia="微软雅黑" w:hAnsi="微软雅黑" w:cs="楷体_GB2312"/>
          <w:kern w:val="0"/>
          <w:sz w:val="22"/>
          <w:szCs w:val="22"/>
        </w:rPr>
      </w:pPr>
      <w:r w:rsidRPr="00074C12">
        <w:rPr>
          <w:rFonts w:ascii="微软雅黑" w:eastAsia="微软雅黑" w:hAnsi="微软雅黑" w:cs="宋体" w:hint="eastAsia"/>
          <w:kern w:val="0"/>
          <w:sz w:val="22"/>
          <w:szCs w:val="22"/>
        </w:rPr>
        <w:t xml:space="preserve">　　</w:t>
      </w:r>
      <w:r w:rsidRPr="00074C12">
        <w:rPr>
          <w:rFonts w:ascii="微软雅黑" w:eastAsia="微软雅黑" w:hAnsi="微软雅黑" w:cs="楷体_GB2312" w:hint="eastAsia"/>
          <w:kern w:val="0"/>
          <w:sz w:val="22"/>
          <w:szCs w:val="22"/>
        </w:rPr>
        <w:t>第六章　附则</w:t>
      </w:r>
    </w:p>
    <w:p w:rsidR="00A94AA5" w:rsidRPr="00074C12" w:rsidRDefault="00A94AA5" w:rsidP="00074C12">
      <w:pPr>
        <w:spacing w:line="240" w:lineRule="exact"/>
        <w:rPr>
          <w:rFonts w:ascii="微软雅黑" w:eastAsia="微软雅黑" w:hAnsi="微软雅黑" w:cs="Arial"/>
          <w:kern w:val="0"/>
          <w:sz w:val="22"/>
          <w:szCs w:val="22"/>
        </w:rPr>
      </w:pPr>
    </w:p>
    <w:p w:rsidR="00A94AA5" w:rsidRPr="00074C12" w:rsidRDefault="00C268BE" w:rsidP="00074C12">
      <w:pPr>
        <w:spacing w:line="240" w:lineRule="exact"/>
        <w:jc w:val="center"/>
        <w:rPr>
          <w:rFonts w:ascii="微软雅黑" w:eastAsia="微软雅黑" w:hAnsi="微软雅黑" w:cs="黑体"/>
          <w:kern w:val="0"/>
          <w:sz w:val="22"/>
          <w:szCs w:val="22"/>
        </w:rPr>
      </w:pPr>
      <w:r w:rsidRPr="00074C12">
        <w:rPr>
          <w:rFonts w:ascii="微软雅黑" w:eastAsia="微软雅黑" w:hAnsi="微软雅黑" w:cs="黑体" w:hint="eastAsia"/>
          <w:kern w:val="0"/>
          <w:sz w:val="22"/>
          <w:szCs w:val="22"/>
        </w:rPr>
        <w:t>第一章　总则</w:t>
      </w:r>
    </w:p>
    <w:p w:rsidR="00A94AA5" w:rsidRPr="00074C12" w:rsidRDefault="00A94AA5" w:rsidP="00074C12">
      <w:pPr>
        <w:spacing w:line="240" w:lineRule="exact"/>
        <w:rPr>
          <w:rFonts w:ascii="微软雅黑" w:eastAsia="微软雅黑" w:hAnsi="微软雅黑" w:cs="Arial"/>
          <w:kern w:val="0"/>
          <w:sz w:val="22"/>
          <w:szCs w:val="22"/>
        </w:rPr>
      </w:pP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第一条</w:t>
      </w:r>
      <w:r w:rsidRPr="00074C12">
        <w:rPr>
          <w:rFonts w:ascii="微软雅黑" w:eastAsia="微软雅黑" w:hAnsi="微软雅黑" w:cs="Arial" w:hint="eastAsia"/>
          <w:kern w:val="0"/>
          <w:sz w:val="22"/>
          <w:szCs w:val="22"/>
        </w:rPr>
        <w:t xml:space="preserve">　为了防止传染病由国外传入或者由国内传出，实施国境卫生检疫，保护人体健康，制定本法。</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第二条</w:t>
      </w:r>
      <w:r w:rsidRPr="00074C12">
        <w:rPr>
          <w:rFonts w:ascii="微软雅黑" w:eastAsia="微软雅黑" w:hAnsi="微软雅黑" w:cs="Arial" w:hint="eastAsia"/>
          <w:kern w:val="0"/>
          <w:sz w:val="22"/>
          <w:szCs w:val="22"/>
        </w:rPr>
        <w:t xml:space="preserve">　在中华人民共和国国际通航的港口、机场以及陆地边境和国界江河的口岸（以下简称国境口岸），设立国境卫生检疫机关，依照本法规定实施传染病检疫、监测和卫生监督。</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第三条</w:t>
      </w:r>
      <w:r w:rsidRPr="00074C12">
        <w:rPr>
          <w:rFonts w:ascii="微软雅黑" w:eastAsia="微软雅黑" w:hAnsi="微软雅黑" w:cs="Arial" w:hint="eastAsia"/>
          <w:kern w:val="0"/>
          <w:sz w:val="22"/>
          <w:szCs w:val="22"/>
        </w:rPr>
        <w:t xml:space="preserve">　本法规定的传染病是指检疫传染病和监测传染病。</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检疫传染病，是指鼠疫、霍乱、黄热病以及国务院确定和公</w:t>
      </w:r>
      <w:r w:rsidRPr="00074C12">
        <w:rPr>
          <w:rFonts w:ascii="微软雅黑" w:eastAsia="微软雅黑" w:hAnsi="微软雅黑" w:cs="Arial" w:hint="eastAsia"/>
          <w:kern w:val="0"/>
          <w:sz w:val="22"/>
          <w:szCs w:val="22"/>
        </w:rPr>
        <w:t>布的其他传染病。</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监测传染病，由国务院卫生行政部门确定和公布。</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第四条</w:t>
      </w:r>
      <w:r w:rsidRPr="00074C12">
        <w:rPr>
          <w:rFonts w:ascii="微软雅黑" w:eastAsia="微软雅黑" w:hAnsi="微软雅黑" w:cs="Arial" w:hint="eastAsia"/>
          <w:kern w:val="0"/>
          <w:sz w:val="22"/>
          <w:szCs w:val="22"/>
        </w:rPr>
        <w:t xml:space="preserve">　入境、出境的人员、交通工具、运输设备以及可能传播检疫传染病的行李、货物、邮包等物品，都应当接受检疫，经国境卫生检疫机关许可，方准入境或者出境。具体办法由本法实施细则规定。</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第五条</w:t>
      </w:r>
      <w:r w:rsidRPr="00074C12">
        <w:rPr>
          <w:rFonts w:ascii="微软雅黑" w:eastAsia="微软雅黑" w:hAnsi="微软雅黑" w:cs="Arial" w:hint="eastAsia"/>
          <w:kern w:val="0"/>
          <w:sz w:val="22"/>
          <w:szCs w:val="22"/>
        </w:rPr>
        <w:t xml:space="preserve">　国境卫生检疫机关发现检疫传染病或者疑似检疫传染病时，除采取必要措施外，必须立即通知当地卫生行政部门，同时用最快的方法报告国务院卫生行政部门，最迟不得超过二十四小时。邮电部门对疫情报告应当优先传送。</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中华人民共和国与外国之间的传染病疫情通报，由国务院卫生行政部门会同有关部门办理。</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第六条</w:t>
      </w:r>
      <w:r w:rsidRPr="00074C12">
        <w:rPr>
          <w:rFonts w:ascii="微软雅黑" w:eastAsia="微软雅黑" w:hAnsi="微软雅黑" w:cs="Arial" w:hint="eastAsia"/>
          <w:kern w:val="0"/>
          <w:sz w:val="22"/>
          <w:szCs w:val="22"/>
        </w:rPr>
        <w:t xml:space="preserve">　在国外或者国内有检疫传染病大流行的时候，国务院可以下令封锁有关的国境或者采取其他紧急措施。</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jc w:val="center"/>
        <w:rPr>
          <w:rFonts w:ascii="微软雅黑" w:eastAsia="微软雅黑" w:hAnsi="微软雅黑" w:cs="黑体"/>
          <w:kern w:val="0"/>
          <w:sz w:val="22"/>
          <w:szCs w:val="22"/>
        </w:rPr>
      </w:pPr>
      <w:r w:rsidRPr="00074C12">
        <w:rPr>
          <w:rFonts w:ascii="微软雅黑" w:eastAsia="微软雅黑" w:hAnsi="微软雅黑" w:cs="黑体" w:hint="eastAsia"/>
          <w:kern w:val="0"/>
          <w:sz w:val="22"/>
          <w:szCs w:val="22"/>
        </w:rPr>
        <w:t>第二章　检疫</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第七条</w:t>
      </w:r>
      <w:r w:rsidRPr="00074C12">
        <w:rPr>
          <w:rFonts w:ascii="微软雅黑" w:eastAsia="微软雅黑" w:hAnsi="微软雅黑" w:cs="Arial" w:hint="eastAsia"/>
          <w:kern w:val="0"/>
          <w:sz w:val="22"/>
          <w:szCs w:val="22"/>
        </w:rPr>
        <w:t xml:space="preserve">　入境的交通工具和人员，必须在最先到达的国境口岸的指定地点接受检疫。除引航员外，未经国境卫生检疫机关许可，任何人不准上下交通工具，不准装卸行李、货物、邮包等物品。具体办法由本法实施细则规定。</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第八条</w:t>
      </w:r>
      <w:r w:rsidRPr="00074C12">
        <w:rPr>
          <w:rFonts w:ascii="微软雅黑" w:eastAsia="微软雅黑" w:hAnsi="微软雅黑" w:cs="Arial" w:hint="eastAsia"/>
          <w:kern w:val="0"/>
          <w:sz w:val="22"/>
          <w:szCs w:val="22"/>
        </w:rPr>
        <w:t xml:space="preserve">　出境的交通工具和人员，必须在最后离开的国境口岸接受检疫。</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第九条</w:t>
      </w:r>
      <w:r w:rsidRPr="00074C12">
        <w:rPr>
          <w:rFonts w:ascii="微软雅黑" w:eastAsia="微软雅黑" w:hAnsi="微软雅黑" w:cs="Arial" w:hint="eastAsia"/>
          <w:kern w:val="0"/>
          <w:sz w:val="22"/>
          <w:szCs w:val="22"/>
        </w:rPr>
        <w:t xml:space="preserve">　来自国外的船舶、航空器因故停泊、降落在中国境内非口岸地点的时候，船舶、航空器的负责人应当立即向就近的国境卫生检疫机关或者当地卫生行政部门报告。除紧急情况外，未经国境卫生检疫机关或者当地卫生行政部门许可，任何人不准上下船舶、航空器，不准装卸行李、货物、邮包等物品。</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第十条</w:t>
      </w:r>
      <w:r w:rsidRPr="00074C12">
        <w:rPr>
          <w:rFonts w:ascii="微软雅黑" w:eastAsia="微软雅黑" w:hAnsi="微软雅黑" w:cs="Arial" w:hint="eastAsia"/>
          <w:kern w:val="0"/>
          <w:sz w:val="22"/>
          <w:szCs w:val="22"/>
        </w:rPr>
        <w:t xml:space="preserve">　在国境口岸发现检疫传染病、疑似检疫传染病，或者有人非因意外伤害而死亡并死因不明的，国境口岸有关单位和交通工具的负责人，应当立即向国境卫生检疫机关报告，并申请临时检疫。</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第十一条</w:t>
      </w:r>
      <w:r w:rsidRPr="00074C12">
        <w:rPr>
          <w:rFonts w:ascii="微软雅黑" w:eastAsia="微软雅黑" w:hAnsi="微软雅黑" w:cs="Arial" w:hint="eastAsia"/>
          <w:kern w:val="0"/>
          <w:sz w:val="22"/>
          <w:szCs w:val="22"/>
        </w:rPr>
        <w:t xml:space="preserve">　国境卫生检疫机关依据检疫医师提供的检疫结果，对未染有</w:t>
      </w:r>
      <w:r w:rsidRPr="00074C12">
        <w:rPr>
          <w:rFonts w:ascii="微软雅黑" w:eastAsia="微软雅黑" w:hAnsi="微软雅黑" w:cs="Arial" w:hint="eastAsia"/>
          <w:kern w:val="0"/>
          <w:sz w:val="22"/>
          <w:szCs w:val="22"/>
        </w:rPr>
        <w:t>检疫传染病或者已实施卫生处理的交通工具，签发入境检疫证或者出境检疫证。</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第十二条</w:t>
      </w:r>
      <w:r w:rsidRPr="00074C12">
        <w:rPr>
          <w:rFonts w:ascii="微软雅黑" w:eastAsia="微软雅黑" w:hAnsi="微软雅黑" w:cs="Arial" w:hint="eastAsia"/>
          <w:kern w:val="0"/>
          <w:sz w:val="22"/>
          <w:szCs w:val="22"/>
        </w:rPr>
        <w:t xml:space="preserve">　国境卫生检疫机关对检疫传染病染疫人必须立即将其隔离，隔离期限根据医学检查结果确定；对检疫传染病染疫嫌疑人应当将其留验，留验期限根据该传染病的潜伏期确定。</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因患检疫传染病而死亡的尸体，必须就近火化。</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第十三条</w:t>
      </w:r>
      <w:r w:rsidRPr="00074C12">
        <w:rPr>
          <w:rFonts w:ascii="微软雅黑" w:eastAsia="微软雅黑" w:hAnsi="微软雅黑" w:cs="Arial" w:hint="eastAsia"/>
          <w:kern w:val="0"/>
          <w:sz w:val="22"/>
          <w:szCs w:val="22"/>
        </w:rPr>
        <w:t xml:space="preserve">　接受入境检疫的交通工具有下列情形之一的，应当实施消毒、除鼠、除虫或者其他卫生处理</w:t>
      </w:r>
      <w:r w:rsidRPr="00074C12">
        <w:rPr>
          <w:rFonts w:ascii="微软雅黑" w:eastAsia="微软雅黑" w:hAnsi="微软雅黑" w:cs="Arial" w:hint="eastAsia"/>
          <w:kern w:val="0"/>
          <w:sz w:val="22"/>
          <w:szCs w:val="22"/>
        </w:rPr>
        <w:t>:</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（一）来自检疫传染病疫区的；</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（二）被检疫传染病污染的；</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（三）发现有与人类健康有关的啮齿动物或者病媒昆虫的。</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Arial" w:hint="eastAsia"/>
          <w:kern w:val="0"/>
          <w:sz w:val="22"/>
          <w:szCs w:val="22"/>
        </w:rPr>
        <w:t xml:space="preserve">　如果外国交通工具的负责人拒绝接受卫生处理，除有特殊情况外，准许该交通工具在国境卫生检疫机关的监督下，立即离开中华人民共和国国境。</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第十四条</w:t>
      </w:r>
      <w:r w:rsidRPr="00074C12">
        <w:rPr>
          <w:rFonts w:ascii="微软雅黑" w:eastAsia="微软雅黑" w:hAnsi="微软雅黑" w:cs="Arial" w:hint="eastAsia"/>
          <w:kern w:val="0"/>
          <w:sz w:val="22"/>
          <w:szCs w:val="22"/>
        </w:rPr>
        <w:t xml:space="preserve">　国境卫生检疫机关对来自疫区的、被检疫传染病污染的或者可能成为检疫传染病传播媒介的行李、货物、邮包等物品，应当进行卫生检查，实施消毒、除鼠、除虫或者其他卫生处理。</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入境、出境的尸体、骸骨的托运人或者其代理人，必须向国境卫生检疫机关申报，经卫生检查合格后，方准运进或者运出。</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jc w:val="center"/>
        <w:rPr>
          <w:rFonts w:ascii="微软雅黑" w:eastAsia="微软雅黑" w:hAnsi="微软雅黑" w:cs="黑体"/>
          <w:kern w:val="0"/>
          <w:sz w:val="22"/>
          <w:szCs w:val="22"/>
        </w:rPr>
      </w:pPr>
      <w:r w:rsidRPr="00074C12">
        <w:rPr>
          <w:rFonts w:ascii="微软雅黑" w:eastAsia="微软雅黑" w:hAnsi="微软雅黑" w:cs="黑体" w:hint="eastAsia"/>
          <w:kern w:val="0"/>
          <w:sz w:val="22"/>
          <w:szCs w:val="22"/>
        </w:rPr>
        <w:t>第三章　传染病监测</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第十五条</w:t>
      </w:r>
      <w:r w:rsidRPr="00074C12">
        <w:rPr>
          <w:rFonts w:ascii="微软雅黑" w:eastAsia="微软雅黑" w:hAnsi="微软雅黑" w:cs="Arial" w:hint="eastAsia"/>
          <w:kern w:val="0"/>
          <w:sz w:val="22"/>
          <w:szCs w:val="22"/>
        </w:rPr>
        <w:t xml:space="preserve">　国境卫生检疫机关对入境、出境的人员实施传染病监测，并</w:t>
      </w:r>
      <w:r w:rsidRPr="00074C12">
        <w:rPr>
          <w:rFonts w:ascii="微软雅黑" w:eastAsia="微软雅黑" w:hAnsi="微软雅黑" w:cs="Arial" w:hint="eastAsia"/>
          <w:kern w:val="0"/>
          <w:sz w:val="22"/>
          <w:szCs w:val="22"/>
        </w:rPr>
        <w:t>且采取必要的预防、控制措施。</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第十六条</w:t>
      </w:r>
      <w:r w:rsidRPr="00074C12">
        <w:rPr>
          <w:rFonts w:ascii="微软雅黑" w:eastAsia="微软雅黑" w:hAnsi="微软雅黑" w:cs="Arial" w:hint="eastAsia"/>
          <w:kern w:val="0"/>
          <w:sz w:val="22"/>
          <w:szCs w:val="22"/>
        </w:rPr>
        <w:t xml:space="preserve">　国境卫生检疫机关有权要求入境、出境的人员填写健康申明卡，出示某种传染病的预防接种证书、健康证明或者其他有关证件。</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第十七条</w:t>
      </w:r>
      <w:r w:rsidRPr="00074C12">
        <w:rPr>
          <w:rFonts w:ascii="微软雅黑" w:eastAsia="微软雅黑" w:hAnsi="微软雅黑" w:cs="Arial" w:hint="eastAsia"/>
          <w:kern w:val="0"/>
          <w:sz w:val="22"/>
          <w:szCs w:val="22"/>
        </w:rPr>
        <w:t xml:space="preserve">　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jc w:val="center"/>
        <w:rPr>
          <w:rFonts w:ascii="微软雅黑" w:eastAsia="微软雅黑" w:hAnsi="微软雅黑" w:cs="黑体"/>
          <w:kern w:val="0"/>
          <w:sz w:val="22"/>
          <w:szCs w:val="22"/>
        </w:rPr>
      </w:pPr>
      <w:r w:rsidRPr="00074C12">
        <w:rPr>
          <w:rFonts w:ascii="微软雅黑" w:eastAsia="微软雅黑" w:hAnsi="微软雅黑" w:cs="黑体" w:hint="eastAsia"/>
          <w:kern w:val="0"/>
          <w:sz w:val="22"/>
          <w:szCs w:val="22"/>
        </w:rPr>
        <w:t>第四章　卫生监督</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第十八条</w:t>
      </w:r>
      <w:r w:rsidRPr="00074C12">
        <w:rPr>
          <w:rFonts w:ascii="微软雅黑" w:eastAsia="微软雅黑" w:hAnsi="微软雅黑" w:cs="Arial" w:hint="eastAsia"/>
          <w:kern w:val="0"/>
          <w:sz w:val="22"/>
          <w:szCs w:val="22"/>
        </w:rPr>
        <w:t xml:space="preserve">　国境卫生检疫机关根据国家规定的卫生标准，对国境口岸的卫生状况和停留在国境口岸的入境、出境的交通工具的卫生状况实施卫生监督</w:t>
      </w:r>
      <w:r w:rsidRPr="00074C12">
        <w:rPr>
          <w:rFonts w:ascii="微软雅黑" w:eastAsia="微软雅黑" w:hAnsi="微软雅黑" w:cs="Arial" w:hint="eastAsia"/>
          <w:kern w:val="0"/>
          <w:sz w:val="22"/>
          <w:szCs w:val="22"/>
        </w:rPr>
        <w:t>:</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（一）监督和指导有关人员对啮齿动物、病媒昆虫的防除；</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（二）检查和检验食品、饮用水及其储存、供应、运输设施；</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（三）监督从事食品、饮用水供应的从业人员的健康状况，检查其健康证明书；</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（四）监督和检查垃圾、废物、污水、粪便、压舱水的处理。</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第十九条</w:t>
      </w:r>
      <w:r w:rsidRPr="00074C12">
        <w:rPr>
          <w:rFonts w:ascii="微软雅黑" w:eastAsia="微软雅黑" w:hAnsi="微软雅黑" w:cs="Arial" w:hint="eastAsia"/>
          <w:kern w:val="0"/>
          <w:sz w:val="22"/>
          <w:szCs w:val="22"/>
        </w:rPr>
        <w:t xml:space="preserve">　国境卫生检疫机关设立国境口岸卫生监督员，执行国境卫生检疫机关交给的任务。</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国境口岸卫生监督员在执行任务时，有权对国境口岸和入境、出境的交通工具进行卫生监督和技术指导，对卫生状况不良和可能引起传染病传播的因素提出改进意见，协同有关部门采取必要的措施，进行卫生处理。</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jc w:val="center"/>
        <w:rPr>
          <w:rFonts w:ascii="微软雅黑" w:eastAsia="微软雅黑" w:hAnsi="微软雅黑" w:cs="黑体"/>
          <w:kern w:val="0"/>
          <w:sz w:val="22"/>
          <w:szCs w:val="22"/>
        </w:rPr>
      </w:pPr>
      <w:r w:rsidRPr="00074C12">
        <w:rPr>
          <w:rFonts w:ascii="微软雅黑" w:eastAsia="微软雅黑" w:hAnsi="微软雅黑" w:cs="黑体" w:hint="eastAsia"/>
          <w:kern w:val="0"/>
          <w:sz w:val="22"/>
          <w:szCs w:val="22"/>
        </w:rPr>
        <w:t>第五章　法律责任</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第二十条</w:t>
      </w:r>
      <w:r w:rsidRPr="00074C12">
        <w:rPr>
          <w:rFonts w:ascii="微软雅黑" w:eastAsia="微软雅黑" w:hAnsi="微软雅黑" w:cs="Arial" w:hint="eastAsia"/>
          <w:kern w:val="0"/>
          <w:sz w:val="22"/>
          <w:szCs w:val="22"/>
        </w:rPr>
        <w:t xml:space="preserve">　对违反本法规定，有下列行为之一的单位或者个人，国境卫生检疫机关可以根据情节轻重，给予警告或者罚款</w:t>
      </w:r>
      <w:r w:rsidRPr="00074C12">
        <w:rPr>
          <w:rFonts w:ascii="微软雅黑" w:eastAsia="微软雅黑" w:hAnsi="微软雅黑" w:cs="Arial" w:hint="eastAsia"/>
          <w:kern w:val="0"/>
          <w:sz w:val="22"/>
          <w:szCs w:val="22"/>
        </w:rPr>
        <w:t>:</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（一）逃避检疫，向国境卫生检疫机关隐瞒真实情况的；</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（二）入境的人员未经国境卫生检疫机关许可，擅自上下交通工具，或者装卸行李、货物、邮包等物品，不听劝阻的。</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罚款全部上缴</w:t>
      </w:r>
      <w:r w:rsidRPr="00074C12">
        <w:rPr>
          <w:rFonts w:ascii="微软雅黑" w:eastAsia="微软雅黑" w:hAnsi="微软雅黑" w:cs="Arial" w:hint="eastAsia"/>
          <w:kern w:val="0"/>
          <w:sz w:val="22"/>
          <w:szCs w:val="22"/>
        </w:rPr>
        <w:t>国库。</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第二十一条</w:t>
      </w:r>
      <w:r w:rsidRPr="00074C12">
        <w:rPr>
          <w:rFonts w:ascii="微软雅黑" w:eastAsia="微软雅黑" w:hAnsi="微软雅黑" w:cs="Arial" w:hint="eastAsia"/>
          <w:kern w:val="0"/>
          <w:sz w:val="22"/>
          <w:szCs w:val="22"/>
        </w:rPr>
        <w:t xml:space="preserve">　当事人对国境卫生检疫机关给予的罚款决定不服的，可以在接到通知之日起十五日内，向当地人民法院起诉。逾期不起诉又不履行的，国境卫生检疫机关可以申请人民法院强制执行。</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第二十二条</w:t>
      </w:r>
      <w:r w:rsidRPr="00074C12">
        <w:rPr>
          <w:rFonts w:ascii="微软雅黑" w:eastAsia="微软雅黑" w:hAnsi="微软雅黑" w:cs="Arial" w:hint="eastAsia"/>
          <w:kern w:val="0"/>
          <w:sz w:val="22"/>
          <w:szCs w:val="22"/>
        </w:rPr>
        <w:t xml:space="preserve">　违反本法规定，引起检疫传染病传播或者有引起检疫传染病传播严重危险的，依照刑法有关规定追究刑事责任。</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第二十三条</w:t>
      </w:r>
      <w:r w:rsidRPr="00074C12">
        <w:rPr>
          <w:rFonts w:ascii="微软雅黑" w:eastAsia="微软雅黑" w:hAnsi="微软雅黑" w:cs="Arial" w:hint="eastAsia"/>
          <w:kern w:val="0"/>
          <w:sz w:val="22"/>
          <w:szCs w:val="22"/>
        </w:rPr>
        <w:t xml:space="preserve">　国境卫生检疫机关工作人员，应当秉公执法，忠于职守，对入境、出境的交通工具和人员，及时进行检疫；违法失职的，给予行政处分，情节严重构成犯罪的，依法追究刑事责任。</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jc w:val="center"/>
        <w:rPr>
          <w:rFonts w:ascii="微软雅黑" w:eastAsia="微软雅黑" w:hAnsi="微软雅黑" w:cs="黑体"/>
          <w:kern w:val="0"/>
          <w:sz w:val="22"/>
          <w:szCs w:val="22"/>
        </w:rPr>
      </w:pPr>
      <w:r w:rsidRPr="00074C12">
        <w:rPr>
          <w:rFonts w:ascii="微软雅黑" w:eastAsia="微软雅黑" w:hAnsi="微软雅黑" w:cs="黑体" w:hint="eastAsia"/>
          <w:kern w:val="0"/>
          <w:sz w:val="22"/>
          <w:szCs w:val="22"/>
        </w:rPr>
        <w:t>第六章　附则</w:t>
      </w:r>
    </w:p>
    <w:p w:rsidR="00A94AA5" w:rsidRPr="00074C12" w:rsidRDefault="00A94AA5" w:rsidP="00074C12">
      <w:pPr>
        <w:spacing w:line="240" w:lineRule="exact"/>
        <w:rPr>
          <w:rFonts w:ascii="微软雅黑" w:eastAsia="微软雅黑" w:hAnsi="微软雅黑" w:cs="宋体"/>
          <w:kern w:val="0"/>
          <w:sz w:val="22"/>
          <w:szCs w:val="22"/>
        </w:rPr>
      </w:pP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第二十四条</w:t>
      </w: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Arial" w:hint="eastAsia"/>
          <w:kern w:val="0"/>
          <w:sz w:val="22"/>
          <w:szCs w:val="22"/>
        </w:rPr>
        <w:t>中华人民共和国缔结或者参加的有关卫生检疫的国际条约同本法有不同规定的，适用该国际条约的规定。但是，中华人民共和国声明保留的条款除外。</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第二十五条</w:t>
      </w:r>
      <w:r w:rsidRPr="00074C12">
        <w:rPr>
          <w:rFonts w:ascii="微软雅黑" w:eastAsia="微软雅黑" w:hAnsi="微软雅黑" w:cs="Arial" w:hint="eastAsia"/>
          <w:kern w:val="0"/>
          <w:sz w:val="22"/>
          <w:szCs w:val="22"/>
        </w:rPr>
        <w:t xml:space="preserve">　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第二十六条</w:t>
      </w:r>
      <w:r w:rsidRPr="00074C12">
        <w:rPr>
          <w:rFonts w:ascii="微软雅黑" w:eastAsia="微软雅黑" w:hAnsi="微软雅黑" w:cs="Arial" w:hint="eastAsia"/>
          <w:kern w:val="0"/>
          <w:sz w:val="22"/>
          <w:szCs w:val="22"/>
        </w:rPr>
        <w:t xml:space="preserve">　国境卫生检疫机关实施卫生检疫，按照国家规定收取费用。</w:t>
      </w:r>
    </w:p>
    <w:p w:rsidR="00A94AA5" w:rsidRPr="00074C12" w:rsidRDefault="00C268BE" w:rsidP="00074C12">
      <w:pPr>
        <w:spacing w:line="240" w:lineRule="exact"/>
        <w:rPr>
          <w:rFonts w:ascii="微软雅黑" w:eastAsia="微软雅黑" w:hAnsi="微软雅黑" w:cs="Arial"/>
          <w:kern w:val="0"/>
          <w:sz w:val="22"/>
          <w:szCs w:val="22"/>
        </w:rPr>
      </w:pPr>
      <w:r w:rsidRPr="00074C12">
        <w:rPr>
          <w:rFonts w:ascii="微软雅黑" w:eastAsia="微软雅黑" w:hAnsi="微软雅黑" w:cs="Arial" w:hint="eastAsia"/>
          <w:kern w:val="0"/>
          <w:sz w:val="22"/>
          <w:szCs w:val="22"/>
        </w:rPr>
        <w:t xml:space="preserve">　　</w:t>
      </w:r>
      <w:r w:rsidRPr="00074C12">
        <w:rPr>
          <w:rFonts w:ascii="微软雅黑" w:eastAsia="微软雅黑" w:hAnsi="微软雅黑" w:cs="黑体" w:hint="eastAsia"/>
          <w:kern w:val="0"/>
          <w:sz w:val="22"/>
          <w:szCs w:val="22"/>
        </w:rPr>
        <w:t>第二十七条</w:t>
      </w:r>
      <w:r w:rsidRPr="00074C12">
        <w:rPr>
          <w:rFonts w:ascii="微软雅黑" w:eastAsia="微软雅黑" w:hAnsi="微软雅黑" w:cs="Arial" w:hint="eastAsia"/>
          <w:kern w:val="0"/>
          <w:sz w:val="22"/>
          <w:szCs w:val="22"/>
        </w:rPr>
        <w:t xml:space="preserve">　本法自</w:t>
      </w:r>
      <w:r w:rsidRPr="00074C12">
        <w:rPr>
          <w:rFonts w:ascii="微软雅黑" w:eastAsia="微软雅黑" w:hAnsi="微软雅黑" w:cs="Arial" w:hint="eastAsia"/>
          <w:kern w:val="0"/>
          <w:sz w:val="22"/>
          <w:szCs w:val="22"/>
        </w:rPr>
        <w:t>1987</w:t>
      </w:r>
      <w:r w:rsidRPr="00074C12">
        <w:rPr>
          <w:rFonts w:ascii="微软雅黑" w:eastAsia="微软雅黑" w:hAnsi="微软雅黑" w:cs="Arial" w:hint="eastAsia"/>
          <w:kern w:val="0"/>
          <w:sz w:val="22"/>
          <w:szCs w:val="22"/>
        </w:rPr>
        <w:t>年</w:t>
      </w:r>
      <w:r w:rsidRPr="00074C12">
        <w:rPr>
          <w:rFonts w:ascii="微软雅黑" w:eastAsia="微软雅黑" w:hAnsi="微软雅黑" w:cs="Arial" w:hint="eastAsia"/>
          <w:kern w:val="0"/>
          <w:sz w:val="22"/>
          <w:szCs w:val="22"/>
        </w:rPr>
        <w:t>5</w:t>
      </w:r>
      <w:r w:rsidRPr="00074C12">
        <w:rPr>
          <w:rFonts w:ascii="微软雅黑" w:eastAsia="微软雅黑" w:hAnsi="微软雅黑" w:cs="Arial" w:hint="eastAsia"/>
          <w:kern w:val="0"/>
          <w:sz w:val="22"/>
          <w:szCs w:val="22"/>
        </w:rPr>
        <w:t>月</w:t>
      </w:r>
      <w:r w:rsidRPr="00074C12">
        <w:rPr>
          <w:rFonts w:ascii="微软雅黑" w:eastAsia="微软雅黑" w:hAnsi="微软雅黑" w:cs="Arial" w:hint="eastAsia"/>
          <w:kern w:val="0"/>
          <w:sz w:val="22"/>
          <w:szCs w:val="22"/>
        </w:rPr>
        <w:t>1</w:t>
      </w:r>
      <w:r w:rsidRPr="00074C12">
        <w:rPr>
          <w:rFonts w:ascii="微软雅黑" w:eastAsia="微软雅黑" w:hAnsi="微软雅黑" w:cs="Arial" w:hint="eastAsia"/>
          <w:kern w:val="0"/>
          <w:sz w:val="22"/>
          <w:szCs w:val="22"/>
        </w:rPr>
        <w:t>日起施行。</w:t>
      </w:r>
      <w:r w:rsidRPr="00074C12">
        <w:rPr>
          <w:rFonts w:ascii="微软雅黑" w:eastAsia="微软雅黑" w:hAnsi="微软雅黑" w:cs="Arial" w:hint="eastAsia"/>
          <w:kern w:val="0"/>
          <w:sz w:val="22"/>
          <w:szCs w:val="22"/>
        </w:rPr>
        <w:t>1957</w:t>
      </w:r>
      <w:r w:rsidRPr="00074C12">
        <w:rPr>
          <w:rFonts w:ascii="微软雅黑" w:eastAsia="微软雅黑" w:hAnsi="微软雅黑" w:cs="Arial" w:hint="eastAsia"/>
          <w:kern w:val="0"/>
          <w:sz w:val="22"/>
          <w:szCs w:val="22"/>
        </w:rPr>
        <w:t>年</w:t>
      </w:r>
      <w:r w:rsidRPr="00074C12">
        <w:rPr>
          <w:rFonts w:ascii="微软雅黑" w:eastAsia="微软雅黑" w:hAnsi="微软雅黑" w:cs="Arial" w:hint="eastAsia"/>
          <w:kern w:val="0"/>
          <w:sz w:val="22"/>
          <w:szCs w:val="22"/>
        </w:rPr>
        <w:t>12</w:t>
      </w:r>
      <w:r w:rsidRPr="00074C12">
        <w:rPr>
          <w:rFonts w:ascii="微软雅黑" w:eastAsia="微软雅黑" w:hAnsi="微软雅黑" w:cs="Arial" w:hint="eastAsia"/>
          <w:kern w:val="0"/>
          <w:sz w:val="22"/>
          <w:szCs w:val="22"/>
        </w:rPr>
        <w:t>月</w:t>
      </w:r>
      <w:r w:rsidRPr="00074C12">
        <w:rPr>
          <w:rFonts w:ascii="微软雅黑" w:eastAsia="微软雅黑" w:hAnsi="微软雅黑" w:cs="Arial" w:hint="eastAsia"/>
          <w:kern w:val="0"/>
          <w:sz w:val="22"/>
          <w:szCs w:val="22"/>
        </w:rPr>
        <w:t>23</w:t>
      </w:r>
      <w:r w:rsidRPr="00074C12">
        <w:rPr>
          <w:rFonts w:ascii="微软雅黑" w:eastAsia="微软雅黑" w:hAnsi="微软雅黑" w:cs="Arial" w:hint="eastAsia"/>
          <w:kern w:val="0"/>
          <w:sz w:val="22"/>
          <w:szCs w:val="22"/>
        </w:rPr>
        <w:t>日公布的《中华</w:t>
      </w:r>
      <w:r w:rsidRPr="00074C12">
        <w:rPr>
          <w:rFonts w:ascii="微软雅黑" w:eastAsia="微软雅黑" w:hAnsi="微软雅黑" w:cs="Arial" w:hint="eastAsia"/>
          <w:kern w:val="0"/>
          <w:sz w:val="22"/>
          <w:szCs w:val="22"/>
        </w:rPr>
        <w:t>人民共和国国境卫生检疫条例》同时废止。</w:t>
      </w:r>
    </w:p>
    <w:sectPr w:rsidR="00A94AA5" w:rsidRPr="00074C12" w:rsidSect="00074C1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BE" w:rsidRDefault="00C268BE" w:rsidP="00A94AA5">
      <w:r>
        <w:separator/>
      </w:r>
    </w:p>
  </w:endnote>
  <w:endnote w:type="continuationSeparator" w:id="0">
    <w:p w:rsidR="00C268BE" w:rsidRDefault="00C268BE" w:rsidP="00A9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5" w:rsidRDefault="00A94AA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A94AA5" w:rsidRDefault="00C268B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A94AA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94AA5">
                  <w:rPr>
                    <w:rFonts w:ascii="宋体" w:eastAsia="宋体" w:hAnsi="宋体" w:cs="宋体" w:hint="eastAsia"/>
                    <w:sz w:val="28"/>
                    <w:szCs w:val="28"/>
                  </w:rPr>
                  <w:fldChar w:fldCharType="separate"/>
                </w:r>
                <w:r w:rsidR="00074C12">
                  <w:rPr>
                    <w:rFonts w:ascii="宋体" w:eastAsia="宋体" w:hAnsi="宋体" w:cs="宋体"/>
                    <w:noProof/>
                    <w:sz w:val="28"/>
                    <w:szCs w:val="28"/>
                  </w:rPr>
                  <w:t>2</w:t>
                </w:r>
                <w:r w:rsidR="00A94AA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5" w:rsidRDefault="00A94AA5">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A94AA5" w:rsidRDefault="00C268B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94AA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94AA5">
                  <w:rPr>
                    <w:rFonts w:ascii="宋体" w:eastAsia="宋体" w:hAnsi="宋体" w:cs="宋体" w:hint="eastAsia"/>
                    <w:sz w:val="28"/>
                    <w:szCs w:val="28"/>
                  </w:rPr>
                  <w:fldChar w:fldCharType="separate"/>
                </w:r>
                <w:r w:rsidR="00074C12">
                  <w:rPr>
                    <w:rFonts w:ascii="宋体" w:eastAsia="宋体" w:hAnsi="宋体" w:cs="宋体"/>
                    <w:noProof/>
                    <w:sz w:val="28"/>
                    <w:szCs w:val="28"/>
                  </w:rPr>
                  <w:t>2</w:t>
                </w:r>
                <w:r w:rsidR="00A94AA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BE" w:rsidRDefault="00C268BE" w:rsidP="00A94AA5">
      <w:r>
        <w:separator/>
      </w:r>
    </w:p>
  </w:footnote>
  <w:footnote w:type="continuationSeparator" w:id="0">
    <w:p w:rsidR="00C268BE" w:rsidRDefault="00C268BE" w:rsidP="00A94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5" w:rsidRDefault="00A94AA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5" w:rsidRDefault="00A94AA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4C12"/>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2FEF"/>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434C"/>
    <w:rsid w:val="00A265F6"/>
    <w:rsid w:val="00A30678"/>
    <w:rsid w:val="00A54E5C"/>
    <w:rsid w:val="00A94AA5"/>
    <w:rsid w:val="00AC1677"/>
    <w:rsid w:val="00AF3EA3"/>
    <w:rsid w:val="00B116B4"/>
    <w:rsid w:val="00B146D8"/>
    <w:rsid w:val="00B30D5E"/>
    <w:rsid w:val="00B5205C"/>
    <w:rsid w:val="00B86404"/>
    <w:rsid w:val="00B95A4E"/>
    <w:rsid w:val="00B9697E"/>
    <w:rsid w:val="00BD4FD8"/>
    <w:rsid w:val="00BD5ABA"/>
    <w:rsid w:val="00C066A8"/>
    <w:rsid w:val="00C268BE"/>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CC248D"/>
    <w:rsid w:val="13EB0803"/>
    <w:rsid w:val="19F86B68"/>
    <w:rsid w:val="28A83523"/>
    <w:rsid w:val="2F7753E6"/>
    <w:rsid w:val="3258761C"/>
    <w:rsid w:val="34B13AF4"/>
    <w:rsid w:val="446E42D8"/>
    <w:rsid w:val="44BC0EEC"/>
    <w:rsid w:val="482A39F4"/>
    <w:rsid w:val="54ED66C6"/>
    <w:rsid w:val="56755F92"/>
    <w:rsid w:val="60BE44F5"/>
    <w:rsid w:val="653A70E2"/>
    <w:rsid w:val="6C1E17DE"/>
    <w:rsid w:val="6E907D21"/>
    <w:rsid w:val="72406E3D"/>
    <w:rsid w:val="77AD08EF"/>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AA5"/>
    <w:pPr>
      <w:widowControl w:val="0"/>
      <w:jc w:val="both"/>
    </w:pPr>
    <w:rPr>
      <w:rFonts w:eastAsia="仿宋_GB2312"/>
      <w:kern w:val="2"/>
      <w:sz w:val="32"/>
      <w:szCs w:val="24"/>
    </w:rPr>
  </w:style>
  <w:style w:type="paragraph" w:styleId="1">
    <w:name w:val="heading 1"/>
    <w:basedOn w:val="a"/>
    <w:next w:val="a"/>
    <w:link w:val="1Char"/>
    <w:qFormat/>
    <w:rsid w:val="00A94A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94AA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A94AA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A94AA5"/>
    <w:pPr>
      <w:shd w:val="clear" w:color="auto" w:fill="000080"/>
    </w:pPr>
  </w:style>
  <w:style w:type="paragraph" w:styleId="a4">
    <w:name w:val="Plain Text"/>
    <w:basedOn w:val="a"/>
    <w:link w:val="Char"/>
    <w:uiPriority w:val="99"/>
    <w:unhideWhenUsed/>
    <w:qFormat/>
    <w:rsid w:val="00A94AA5"/>
    <w:rPr>
      <w:rFonts w:ascii="宋体" w:eastAsia="宋体" w:hAnsi="Courier New"/>
      <w:sz w:val="21"/>
      <w:szCs w:val="21"/>
    </w:rPr>
  </w:style>
  <w:style w:type="paragraph" w:styleId="a5">
    <w:name w:val="Balloon Text"/>
    <w:basedOn w:val="a"/>
    <w:semiHidden/>
    <w:qFormat/>
    <w:rsid w:val="00A94AA5"/>
    <w:rPr>
      <w:sz w:val="18"/>
      <w:szCs w:val="18"/>
    </w:rPr>
  </w:style>
  <w:style w:type="paragraph" w:styleId="a6">
    <w:name w:val="footer"/>
    <w:basedOn w:val="a"/>
    <w:link w:val="Char0"/>
    <w:uiPriority w:val="99"/>
    <w:qFormat/>
    <w:rsid w:val="00A94AA5"/>
    <w:pPr>
      <w:tabs>
        <w:tab w:val="center" w:pos="4153"/>
        <w:tab w:val="right" w:pos="8306"/>
      </w:tabs>
      <w:snapToGrid w:val="0"/>
      <w:jc w:val="left"/>
    </w:pPr>
    <w:rPr>
      <w:sz w:val="18"/>
      <w:szCs w:val="18"/>
    </w:rPr>
  </w:style>
  <w:style w:type="paragraph" w:styleId="a7">
    <w:name w:val="header"/>
    <w:basedOn w:val="a"/>
    <w:link w:val="Char1"/>
    <w:uiPriority w:val="99"/>
    <w:qFormat/>
    <w:rsid w:val="00A94AA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4AA5"/>
  </w:style>
  <w:style w:type="paragraph" w:styleId="a8">
    <w:name w:val="Subtitle"/>
    <w:basedOn w:val="a"/>
    <w:next w:val="a"/>
    <w:link w:val="Char2"/>
    <w:qFormat/>
    <w:rsid w:val="00A94AA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A94AA5"/>
    <w:pPr>
      <w:ind w:leftChars="200" w:left="420"/>
    </w:pPr>
  </w:style>
  <w:style w:type="paragraph" w:styleId="a9">
    <w:name w:val="Title"/>
    <w:basedOn w:val="a"/>
    <w:next w:val="a"/>
    <w:link w:val="Char3"/>
    <w:qFormat/>
    <w:rsid w:val="00A94AA5"/>
    <w:pPr>
      <w:spacing w:before="240" w:after="60"/>
      <w:jc w:val="center"/>
      <w:outlineLvl w:val="0"/>
    </w:pPr>
    <w:rPr>
      <w:rFonts w:ascii="Cambria" w:eastAsia="宋体" w:hAnsi="Cambria"/>
      <w:b/>
      <w:bCs/>
      <w:szCs w:val="32"/>
    </w:rPr>
  </w:style>
  <w:style w:type="character" w:styleId="aa">
    <w:name w:val="Strong"/>
    <w:qFormat/>
    <w:rsid w:val="00A94AA5"/>
    <w:rPr>
      <w:b/>
      <w:bCs/>
    </w:rPr>
  </w:style>
  <w:style w:type="character" w:styleId="ab">
    <w:name w:val="page number"/>
    <w:basedOn w:val="a0"/>
    <w:qFormat/>
    <w:rsid w:val="00A94AA5"/>
  </w:style>
  <w:style w:type="character" w:styleId="ac">
    <w:name w:val="FollowedHyperlink"/>
    <w:qFormat/>
    <w:rsid w:val="00A94AA5"/>
    <w:rPr>
      <w:color w:val="800080"/>
      <w:u w:val="single"/>
    </w:rPr>
  </w:style>
  <w:style w:type="character" w:styleId="ad">
    <w:name w:val="Emphasis"/>
    <w:qFormat/>
    <w:rsid w:val="00A94AA5"/>
    <w:rPr>
      <w:i/>
      <w:iCs/>
    </w:rPr>
  </w:style>
  <w:style w:type="character" w:styleId="ae">
    <w:name w:val="Hyperlink"/>
    <w:uiPriority w:val="99"/>
    <w:qFormat/>
    <w:rsid w:val="00A94AA5"/>
    <w:rPr>
      <w:rFonts w:ascii="ˎ̥" w:hAnsi="ˎ̥" w:hint="default"/>
      <w:color w:val="0404B3"/>
      <w:sz w:val="18"/>
      <w:szCs w:val="18"/>
      <w:u w:val="none"/>
    </w:rPr>
  </w:style>
  <w:style w:type="paragraph" w:customStyle="1" w:styleId="Style20">
    <w:name w:val="_Style 20"/>
    <w:basedOn w:val="1"/>
    <w:next w:val="a"/>
    <w:uiPriority w:val="39"/>
    <w:qFormat/>
    <w:rsid w:val="00A94AA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A94AA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A94AA5"/>
    <w:rPr>
      <w:rFonts w:eastAsia="仿宋_GB2312"/>
      <w:kern w:val="2"/>
      <w:sz w:val="18"/>
      <w:szCs w:val="18"/>
    </w:rPr>
  </w:style>
  <w:style w:type="character" w:customStyle="1" w:styleId="Char">
    <w:name w:val="纯文本 Char"/>
    <w:link w:val="a4"/>
    <w:uiPriority w:val="99"/>
    <w:qFormat/>
    <w:rsid w:val="00A94AA5"/>
    <w:rPr>
      <w:rFonts w:ascii="宋体" w:hAnsi="Courier New" w:cs="Courier New"/>
      <w:kern w:val="2"/>
      <w:sz w:val="21"/>
      <w:szCs w:val="21"/>
    </w:rPr>
  </w:style>
  <w:style w:type="character" w:customStyle="1" w:styleId="Char10">
    <w:name w:val="纯文本 Char1"/>
    <w:qFormat/>
    <w:rsid w:val="00A94AA5"/>
    <w:rPr>
      <w:rFonts w:ascii="宋体" w:hAnsi="Courier New" w:cs="Courier New"/>
      <w:kern w:val="2"/>
      <w:sz w:val="21"/>
      <w:szCs w:val="21"/>
    </w:rPr>
  </w:style>
  <w:style w:type="character" w:customStyle="1" w:styleId="Char2">
    <w:name w:val="副标题 Char"/>
    <w:link w:val="a8"/>
    <w:qFormat/>
    <w:rsid w:val="00A94AA5"/>
    <w:rPr>
      <w:rFonts w:ascii="Cambria" w:hAnsi="Cambria" w:cs="Times New Roman"/>
      <w:b/>
      <w:bCs/>
      <w:kern w:val="28"/>
      <w:sz w:val="32"/>
      <w:szCs w:val="32"/>
    </w:rPr>
  </w:style>
  <w:style w:type="character" w:customStyle="1" w:styleId="1Char">
    <w:name w:val="标题 1 Char"/>
    <w:link w:val="1"/>
    <w:qFormat/>
    <w:rsid w:val="00A94AA5"/>
    <w:rPr>
      <w:rFonts w:eastAsia="仿宋_GB2312"/>
      <w:b/>
      <w:bCs/>
      <w:kern w:val="44"/>
      <w:sz w:val="44"/>
      <w:szCs w:val="44"/>
    </w:rPr>
  </w:style>
  <w:style w:type="character" w:customStyle="1" w:styleId="Char3">
    <w:name w:val="标题 Char"/>
    <w:link w:val="a9"/>
    <w:qFormat/>
    <w:rsid w:val="00A94AA5"/>
    <w:rPr>
      <w:rFonts w:ascii="Cambria" w:hAnsi="Cambria" w:cs="Times New Roman"/>
      <w:b/>
      <w:bCs/>
      <w:kern w:val="2"/>
      <w:sz w:val="32"/>
      <w:szCs w:val="32"/>
    </w:rPr>
  </w:style>
  <w:style w:type="character" w:customStyle="1" w:styleId="11Char">
    <w:name w:val="1.1 Char"/>
    <w:link w:val="11"/>
    <w:qFormat/>
    <w:rsid w:val="00A94AA5"/>
    <w:rPr>
      <w:rFonts w:ascii="Calibri" w:hAnsi="Calibri"/>
      <w:b/>
      <w:bCs/>
      <w:kern w:val="2"/>
      <w:sz w:val="30"/>
      <w:szCs w:val="32"/>
    </w:rPr>
  </w:style>
  <w:style w:type="character" w:customStyle="1" w:styleId="3Char">
    <w:name w:val="标题 3 Char"/>
    <w:link w:val="3"/>
    <w:semiHidden/>
    <w:qFormat/>
    <w:rsid w:val="00A94AA5"/>
    <w:rPr>
      <w:rFonts w:eastAsia="仿宋_GB2312"/>
      <w:b/>
      <w:bCs/>
      <w:kern w:val="2"/>
      <w:sz w:val="32"/>
      <w:szCs w:val="32"/>
    </w:rPr>
  </w:style>
  <w:style w:type="character" w:customStyle="1" w:styleId="2Char">
    <w:name w:val="标题 2 Char"/>
    <w:link w:val="2"/>
    <w:uiPriority w:val="9"/>
    <w:qFormat/>
    <w:rsid w:val="00A94AA5"/>
    <w:rPr>
      <w:rFonts w:ascii="Cambria" w:hAnsi="Cambria"/>
      <w:b/>
      <w:bCs/>
      <w:kern w:val="2"/>
      <w:sz w:val="32"/>
      <w:szCs w:val="32"/>
    </w:rPr>
  </w:style>
  <w:style w:type="character" w:customStyle="1" w:styleId="Char0">
    <w:name w:val="页脚 Char"/>
    <w:link w:val="a6"/>
    <w:uiPriority w:val="99"/>
    <w:qFormat/>
    <w:rsid w:val="00A94AA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