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450229" w:rsidP="00450229">
      <w:pPr>
        <w:spacing w:line="500" w:lineRule="exact"/>
        <w:jc w:val="center"/>
        <w:rPr>
          <w:rFonts w:ascii="微软雅黑" w:eastAsia="微软雅黑" w:hAnsi="微软雅黑"/>
          <w:b/>
          <w:color w:val="FF0000"/>
          <w:sz w:val="40"/>
          <w:szCs w:val="40"/>
        </w:rPr>
      </w:pPr>
      <w:r w:rsidRPr="00450229">
        <w:rPr>
          <w:rFonts w:ascii="微软雅黑" w:eastAsia="微软雅黑" w:hAnsi="微软雅黑" w:cs="宋体" w:hint="eastAsia"/>
          <w:b/>
          <w:color w:val="FF0000"/>
          <w:sz w:val="40"/>
          <w:szCs w:val="40"/>
        </w:rPr>
        <w:t>《</w:t>
      </w:r>
      <w:r w:rsidR="007121CA" w:rsidRPr="00450229">
        <w:rPr>
          <w:rFonts w:ascii="微软雅黑" w:eastAsia="微软雅黑" w:hAnsi="微软雅黑" w:cs="宋体" w:hint="eastAsia"/>
          <w:b/>
          <w:color w:val="FF0000"/>
          <w:sz w:val="40"/>
          <w:szCs w:val="40"/>
        </w:rPr>
        <w:t>中华人民共和国反恐怖主义法</w:t>
      </w:r>
      <w:r w:rsidRPr="00450229">
        <w:rPr>
          <w:rFonts w:ascii="微软雅黑" w:eastAsia="微软雅黑" w:hAnsi="微软雅黑" w:cs="宋体" w:hint="eastAsia"/>
          <w:b/>
          <w:color w:val="FF0000"/>
          <w:sz w:val="40"/>
          <w:szCs w:val="40"/>
        </w:rPr>
        <w:t>》</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ind w:leftChars="200" w:left="640" w:rightChars="200" w:right="640"/>
        <w:jc w:val="lef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w:t>
      </w:r>
      <w:r w:rsidRPr="00450229">
        <w:rPr>
          <w:rFonts w:ascii="微软雅黑" w:eastAsia="微软雅黑" w:hAnsi="微软雅黑" w:cs="楷体_GB2312" w:hint="eastAsia"/>
          <w:sz w:val="22"/>
          <w:szCs w:val="22"/>
        </w:rPr>
        <w:t>2015</w:t>
      </w:r>
      <w:r w:rsidRPr="00450229">
        <w:rPr>
          <w:rFonts w:ascii="微软雅黑" w:eastAsia="微软雅黑" w:hAnsi="微软雅黑" w:cs="楷体_GB2312" w:hint="eastAsia"/>
          <w:sz w:val="22"/>
          <w:szCs w:val="22"/>
        </w:rPr>
        <w:t>年</w:t>
      </w:r>
      <w:r w:rsidRPr="00450229">
        <w:rPr>
          <w:rFonts w:ascii="微软雅黑" w:eastAsia="微软雅黑" w:hAnsi="微软雅黑" w:cs="楷体_GB2312" w:hint="eastAsia"/>
          <w:sz w:val="22"/>
          <w:szCs w:val="22"/>
        </w:rPr>
        <w:t>12</w:t>
      </w:r>
      <w:r w:rsidRPr="00450229">
        <w:rPr>
          <w:rFonts w:ascii="微软雅黑" w:eastAsia="微软雅黑" w:hAnsi="微软雅黑" w:cs="楷体_GB2312" w:hint="eastAsia"/>
          <w:sz w:val="22"/>
          <w:szCs w:val="22"/>
        </w:rPr>
        <w:t>月</w:t>
      </w:r>
      <w:r w:rsidRPr="00450229">
        <w:rPr>
          <w:rFonts w:ascii="微软雅黑" w:eastAsia="微软雅黑" w:hAnsi="微软雅黑" w:cs="楷体_GB2312" w:hint="eastAsia"/>
          <w:sz w:val="22"/>
          <w:szCs w:val="22"/>
        </w:rPr>
        <w:t>27</w:t>
      </w:r>
      <w:r w:rsidRPr="00450229">
        <w:rPr>
          <w:rFonts w:ascii="微软雅黑" w:eastAsia="微软雅黑" w:hAnsi="微软雅黑" w:cs="楷体_GB2312" w:hint="eastAsia"/>
          <w:sz w:val="22"/>
          <w:szCs w:val="22"/>
        </w:rPr>
        <w:t>日第十二届全国人民代表大会常务委员会第十八次会议通过</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根据</w:t>
      </w:r>
      <w:r w:rsidRPr="00450229">
        <w:rPr>
          <w:rFonts w:ascii="微软雅黑" w:eastAsia="微软雅黑" w:hAnsi="微软雅黑" w:cs="楷体_GB2312" w:hint="eastAsia"/>
          <w:sz w:val="22"/>
          <w:szCs w:val="22"/>
        </w:rPr>
        <w:t>2018</w:t>
      </w:r>
      <w:r w:rsidRPr="00450229">
        <w:rPr>
          <w:rFonts w:ascii="微软雅黑" w:eastAsia="微软雅黑" w:hAnsi="微软雅黑" w:cs="楷体_GB2312" w:hint="eastAsia"/>
          <w:sz w:val="22"/>
          <w:szCs w:val="22"/>
        </w:rPr>
        <w:t>年</w:t>
      </w:r>
      <w:r w:rsidRPr="00450229">
        <w:rPr>
          <w:rFonts w:ascii="微软雅黑" w:eastAsia="微软雅黑" w:hAnsi="微软雅黑" w:cs="楷体_GB2312" w:hint="eastAsia"/>
          <w:sz w:val="22"/>
          <w:szCs w:val="22"/>
        </w:rPr>
        <w:t>4</w:t>
      </w:r>
      <w:r w:rsidRPr="00450229">
        <w:rPr>
          <w:rFonts w:ascii="微软雅黑" w:eastAsia="微软雅黑" w:hAnsi="微软雅黑" w:cs="楷体_GB2312" w:hint="eastAsia"/>
          <w:sz w:val="22"/>
          <w:szCs w:val="22"/>
        </w:rPr>
        <w:t>月</w:t>
      </w:r>
      <w:r w:rsidRPr="00450229">
        <w:rPr>
          <w:rFonts w:ascii="微软雅黑" w:eastAsia="微软雅黑" w:hAnsi="微软雅黑" w:cs="楷体_GB2312" w:hint="eastAsia"/>
          <w:sz w:val="22"/>
          <w:szCs w:val="22"/>
        </w:rPr>
        <w:t>27</w:t>
      </w:r>
      <w:r w:rsidRPr="00450229">
        <w:rPr>
          <w:rFonts w:ascii="微软雅黑" w:eastAsia="微软雅黑" w:hAnsi="微软雅黑" w:cs="楷体_GB2312" w:hint="eastAsia"/>
          <w:sz w:val="22"/>
          <w:szCs w:val="22"/>
        </w:rPr>
        <w:t>日第十三届全国人民代表大会常务委员会第二次会议《关于修改</w:t>
      </w:r>
      <w:r w:rsidRPr="00450229">
        <w:rPr>
          <w:rFonts w:ascii="微软雅黑" w:eastAsia="微软雅黑" w:hAnsi="微软雅黑" w:cs="楷体_GB2312" w:hint="eastAsia"/>
          <w:sz w:val="22"/>
          <w:szCs w:val="22"/>
        </w:rPr>
        <w:t>&lt;</w:t>
      </w:r>
      <w:r w:rsidRPr="00450229">
        <w:rPr>
          <w:rFonts w:ascii="微软雅黑" w:eastAsia="微软雅黑" w:hAnsi="微软雅黑" w:cs="楷体_GB2312" w:hint="eastAsia"/>
          <w:sz w:val="22"/>
          <w:szCs w:val="22"/>
        </w:rPr>
        <w:t>中华人民共和国国境卫生检疫法</w:t>
      </w:r>
      <w:r w:rsidRPr="00450229">
        <w:rPr>
          <w:rFonts w:ascii="微软雅黑" w:eastAsia="微软雅黑" w:hAnsi="微软雅黑" w:cs="楷体_GB2312" w:hint="eastAsia"/>
          <w:sz w:val="22"/>
          <w:szCs w:val="22"/>
        </w:rPr>
        <w:t>&gt;</w:t>
      </w:r>
      <w:r w:rsidRPr="00450229">
        <w:rPr>
          <w:rFonts w:ascii="微软雅黑" w:eastAsia="微软雅黑" w:hAnsi="微软雅黑" w:cs="楷体_GB2312" w:hint="eastAsia"/>
          <w:sz w:val="22"/>
          <w:szCs w:val="22"/>
        </w:rPr>
        <w:t>等六部法律的决定》修正）</w:t>
      </w:r>
    </w:p>
    <w:p w:rsidR="00795C74" w:rsidRPr="00450229" w:rsidRDefault="00795C74" w:rsidP="00450229">
      <w:pPr>
        <w:spacing w:line="240" w:lineRule="exact"/>
        <w:jc w:val="center"/>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目</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录</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第一章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总则</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第二章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恐怖活动组织和人员的认定</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第三章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安全防范</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第四章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情报信息</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第五章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调查</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第六章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应对处置</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第七章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国际合作</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第八章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保障措施</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第九章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法律责任</w:t>
      </w:r>
    </w:p>
    <w:p w:rsidR="00795C74" w:rsidRPr="00450229" w:rsidRDefault="007121CA" w:rsidP="00450229">
      <w:pPr>
        <w:spacing w:line="240" w:lineRule="exact"/>
        <w:rPr>
          <w:rFonts w:ascii="微软雅黑" w:eastAsia="微软雅黑" w:hAnsi="微软雅黑" w:cs="楷体_GB2312"/>
          <w:sz w:val="22"/>
          <w:szCs w:val="22"/>
        </w:rPr>
      </w:pP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第十章</w:t>
      </w:r>
      <w:r w:rsidRPr="00450229">
        <w:rPr>
          <w:rFonts w:ascii="微软雅黑" w:eastAsia="微软雅黑" w:hAnsi="微软雅黑" w:cs="楷体_GB2312" w:hint="eastAsia"/>
          <w:sz w:val="22"/>
          <w:szCs w:val="22"/>
        </w:rPr>
        <w:t xml:space="preserve">　</w:t>
      </w:r>
      <w:r w:rsidRPr="00450229">
        <w:rPr>
          <w:rFonts w:ascii="微软雅黑" w:eastAsia="微软雅黑" w:hAnsi="微软雅黑" w:cs="楷体_GB2312" w:hint="eastAsia"/>
          <w:sz w:val="22"/>
          <w:szCs w:val="22"/>
        </w:rPr>
        <w:t>附则</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第一章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总则</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cs="黑体"/>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为了防范和惩治恐怖活动，加强反恐怖主义工作，维护国家安全、公共安全和人民生命财产安全，根据宪法，制定本法。</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对一切形式的恐怖主义，依法取缔恐怖活动组织，对任何组织、策划、准备实施、实施恐怖活动，宣扬恐怖主义，煽动实施恐怖活动，组织、领导、参加恐怖活动组织，为恐怖活动提供帮助的，依法追究法律责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国家不向任何恐怖活动组织和人员作出妥协，不向任何恐怖活动人员提供庇护或者给予难民地位。</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本法所称恐怖主义，是指通过暴力、破坏、恐吓等手段，制造社会恐慌、危害公共安全、侵犯人身财产，或者胁迫国家机关、国际组织，以实现其政治、意识形态等目的的主张和行为。</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本法所称恐怖活动，是指恐怖主义性质的下列行为：</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（一）组织、策划、准备实施、实施造成或者意图造成人员伤亡、重大财产损失、公共设施损坏、社会秩序混乱等严重社会危害的活动的；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（二）宣扬恐怖主义，煽动实施恐怖活动，或者非法持有宣扬恐怖主义的</w:t>
      </w:r>
      <w:r w:rsidRPr="00450229">
        <w:rPr>
          <w:rFonts w:ascii="微软雅黑" w:eastAsia="微软雅黑" w:hAnsi="微软雅黑" w:hint="eastAsia"/>
          <w:sz w:val="22"/>
          <w:szCs w:val="22"/>
        </w:rPr>
        <w:t>物品，强制他人在公共场所穿戴宣扬恐怖主义的服饰、标志的；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（三）组织、领导、参加恐怖活动组织的；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（四）为恐怖活动组织、恐怖活动人员、实施恐怖活动或者恐怖活动培训提供信息、资金、物资、劳务、技术、场所等支持、协助、便利的；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（五）其他恐怖活动。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本法所称恐怖活动组织，是指三人以上为实施恐怖活动而组成的犯罪组织。</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本法所称恐怖活动人员，是指实施恐怖活动的人和恐怖活动组织的成员。</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本法所称恐怖事件，是指正在发生或者已经发生的造成或者可能造成重大社会危害的恐怖活动。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国家将反恐</w:t>
      </w:r>
      <w:r w:rsidRPr="00450229">
        <w:rPr>
          <w:rFonts w:ascii="微软雅黑" w:eastAsia="微软雅黑" w:hAnsi="微软雅黑" w:hint="eastAsia"/>
          <w:sz w:val="22"/>
          <w:szCs w:val="22"/>
        </w:rPr>
        <w:t>怖主义纳入国家安全战略，综合施策，标本兼治，加强反恐怖主义的能力建设，运用政治、经济、法律、文化、教育、外交、军事等手段，开展反恐怖主义工作。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国家反对一切形式的以歪曲宗教教义或者其他方法煽动仇恨、煽动歧视、鼓吹暴力等极端主义，消除恐怖主义的思想基础。</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反恐怖主义工作坚持专门工作与群众路线相结合，防范为主、惩防结合和先发制敌、保持主动的原则。</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反恐怖主义工作应当依法进行，尊重和保障人权，维护公民和组织的合法权益。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在反恐怖主义工作中，应当尊重公民的宗教信仰自由和民族风俗习惯，</w:t>
      </w:r>
      <w:r w:rsidRPr="00450229">
        <w:rPr>
          <w:rFonts w:ascii="微软雅黑" w:eastAsia="微软雅黑" w:hAnsi="微软雅黑" w:hint="eastAsia"/>
          <w:sz w:val="22"/>
          <w:szCs w:val="22"/>
        </w:rPr>
        <w:t>禁止任何基于地域、民族、宗教等理由的歧视性做法。</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国家设立反恐怖主义工作领导机构，统一领导和指挥全国反恐怖主义工作。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设区的市级以上地方人民政府设立反恐怖主义工作领导机构，县级人民政府根据需要设立反恐怖主义工作领导机构，在上级反恐怖主义工作领导机构的领导和指挥下，负责本地区反恐怖主义工作。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公安机关、国家安全机关和人民检察院、人民法院、司法行政机关以及其他有关国家机关，应当根据分工，实行工作责任制，依法做好反恐怖主义工作。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中国人民解放军、中国人民武装警察部队和民兵组织依照本法和其他有关法律、行政法规、军事法规以及国务院、中央军事委员会的命令，并根据反恐怖主义工作领导机构的部署，防范和处置恐怖活动。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有关部门应当建立联动配合机制，依靠、动员村民委员会、居民委员会、企业事业单位、社会组织，共同开展反恐怖主义工作。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任何单位和个人都有协助、配合有关部门开展反恐怖主义工作的义务，发现恐怖活动嫌疑或者</w:t>
      </w:r>
      <w:r w:rsidRPr="00450229">
        <w:rPr>
          <w:rFonts w:ascii="微软雅黑" w:eastAsia="微软雅黑" w:hAnsi="微软雅黑" w:hint="eastAsia"/>
          <w:sz w:val="22"/>
          <w:szCs w:val="22"/>
        </w:rPr>
        <w:lastRenderedPageBreak/>
        <w:t>恐怖活动嫌疑人员的，应当及时向公安机关或者有关部门报告。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对举报恐怖活动或者协助防范、制止恐怖活动有突出贡献</w:t>
      </w:r>
      <w:r w:rsidRPr="00450229">
        <w:rPr>
          <w:rFonts w:ascii="微软雅黑" w:eastAsia="微软雅黑" w:hAnsi="微软雅黑" w:hint="eastAsia"/>
          <w:sz w:val="22"/>
          <w:szCs w:val="22"/>
        </w:rPr>
        <w:t>的单位和个人，以及在反恐怖主义工作中作出其他突出贡献的单位和个人，按照国家有关规定给予表彰、奖励。</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第二章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恐怖活动组织和人员的认定</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国家反恐怖主义工作领导机构根据本法第三条的规定，认定恐怖活动组织和人员，由国家反恐怖主义工作领导机构的办事机构予以公告。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国务院公安部门、国家安全部门、外交部门和省级反恐怖主义工作领导机构对于需要认定恐怖活动组织和人员的，应当向国家反恐怖主义工作领导机构提出申请。</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被认定的恐怖活动组织和人员对认定不服的，可以通过国家反恐怖主义工作领导机构的办事机构申请复核。国家反恐怖主义工作领导机构应当及时进行复核，作出维</w:t>
      </w:r>
      <w:r w:rsidRPr="00450229">
        <w:rPr>
          <w:rFonts w:ascii="微软雅黑" w:eastAsia="微软雅黑" w:hAnsi="微软雅黑" w:hint="eastAsia"/>
          <w:sz w:val="22"/>
          <w:szCs w:val="22"/>
        </w:rPr>
        <w:t>持或者撤销认定的决定。复核决定为最终决定。</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国家反恐怖主义工作领导机构作出撤销认定的决定的，由国家反恐怖主义工作领导机构的办事机构予以公告；资金、资产已被冻结的，应当解除冻结。</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第三章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安全防范</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各级人民政府和有关部门应当组织开展反恐怖主义宣传教育，提高公民的反恐怖主义意识。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教育、人力资源行政主管部门和学校、有关职业培训机构应当将恐怖活动预防、应急知识纳入教育、教学、培训的内容。</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新闻、广播、电视、文化、宗教、互联网等有关单位，应当有针对性地面向社会进行反恐怖主义宣传教育。</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村民委员会、居民委员会应当协助人民政府以及有关部门，加强反恐怖主义宣传教育。</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电信业务经营者、互联网服务提供者应当为公安机关、国家安全机关依法进行防范、调查恐怖活动提供技术接口和解密等技术支持和协助。</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w:t>
      </w:r>
      <w:r w:rsidRPr="00450229">
        <w:rPr>
          <w:rFonts w:ascii="微软雅黑" w:eastAsia="微软雅黑" w:hAnsi="微软雅黑" w:hint="eastAsia"/>
          <w:sz w:val="22"/>
          <w:szCs w:val="22"/>
        </w:rPr>
        <w:t>恐怖主义、极端主义内容的信息，电信主管部门应当采取技术措施，阻断传播。</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前款规定的物流运营单位，应当实行运输、寄递客户身份、物品信息登记制度。</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第二十一条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电信、互联网、金融、住宿、长途客运、机动车租赁等业务经营者、服务提供者，应当对客户身份进行查验。对身份不明</w:t>
      </w:r>
      <w:r w:rsidRPr="00450229">
        <w:rPr>
          <w:rFonts w:ascii="微软雅黑" w:eastAsia="微软雅黑" w:hAnsi="微软雅黑" w:hint="eastAsia"/>
          <w:sz w:val="22"/>
          <w:szCs w:val="22"/>
        </w:rPr>
        <w:t>或者拒绝身份查验的，不得提供服务。</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生产和进口单位应当依照规定对枪支等武器、弹药、管制器具、危险化学品、民用爆炸物品、核与放射物品作出电子追踪标识，对民用爆炸物品添加安检示踪标识物。</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运输单位应当依照规定对运营中的危险化学品、民用爆炸物品、核与放射物品的运输工具通过定位系统实行监控。</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有关单位应当依照规定对传染病病原体等物质实行严格的监督管理，严密防范传染病病原体等物质扩散或者流入非法渠道。</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对管制器具、危险化学品、民用爆炸物品，国务院有关主管部门或者省级人民政府根据需要，在特定</w:t>
      </w:r>
      <w:r w:rsidRPr="00450229">
        <w:rPr>
          <w:rFonts w:ascii="微软雅黑" w:eastAsia="微软雅黑" w:hAnsi="微软雅黑" w:hint="eastAsia"/>
          <w:sz w:val="22"/>
          <w:szCs w:val="22"/>
        </w:rPr>
        <w:t>区域、特定时间，可以决定对生产、进出口、运输、销售、使用、报废实施管制，可以禁止使用现金、实物进行交易或者对交易活动作出其他限制。</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任何单位和个人不得非法制作、生产、储存、运输、进出口、销售、提供、购买、使用</w:t>
      </w:r>
      <w:r w:rsidRPr="00450229">
        <w:rPr>
          <w:rFonts w:ascii="微软雅黑" w:eastAsia="微软雅黑" w:hAnsi="微软雅黑" w:hint="eastAsia"/>
          <w:sz w:val="22"/>
          <w:szCs w:val="22"/>
        </w:rPr>
        <w:t>、持有、报废、销毁前款规定的物品。公安机关发现的，应当予以扣押；其他主管部门发现的，应当予以扣押，并立即通报</w:t>
      </w:r>
      <w:r w:rsidRPr="00450229">
        <w:rPr>
          <w:rFonts w:ascii="微软雅黑" w:eastAsia="微软雅黑" w:hAnsi="微软雅黑" w:hint="eastAsia"/>
          <w:sz w:val="22"/>
          <w:szCs w:val="22"/>
        </w:rPr>
        <w:lastRenderedPageBreak/>
        <w:t>公安机关；其他单位、个人发现的，应当立即向公安机关报告。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国务院反洗钱行政主管部门、国务院有关部门、机构依法对金融机构和特定非金融机构履行反恐怖主义融资义务的情况进行监督管理。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国务院反洗钱行政主管部门发现涉嫌恐怖主义融资的，可以依法进行调查，采取临时冻结措施。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审计、财政、税务等部门在依照法律、行政法规的规定对有关单位实施监督检查的过程中，发现资金流入流出涉嫌恐怖主义融资的，应当及时通报公安机关。</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第二十六条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海关在对进出境人员携带现金和无记名有价证券实施监管的过程中，发现涉嫌恐怖主义融资的，应当立即通报国务院反洗钱行政主管部门和有管辖权的公安机关。</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地方各级人民政府制定、组织实施城乡规划，应当符合反恐怖主义工作的需要。</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地方各级人民政府应当根据需要，组织、督促有关建设单位在主要道路、交通枢纽、城市公共区域的重点部位，配备、安装公共安全视频</w:t>
      </w:r>
      <w:r w:rsidRPr="00450229">
        <w:rPr>
          <w:rFonts w:ascii="微软雅黑" w:eastAsia="微软雅黑" w:hAnsi="微软雅黑" w:hint="eastAsia"/>
          <w:sz w:val="22"/>
          <w:szCs w:val="22"/>
        </w:rPr>
        <w:t>图像信息系统等防范恐怖袭击的技防、物防设备、设施。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第二十八条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公安机关和有关部门对宣扬极端主义，利用极端主义危害公共安全、扰乱公共秩序、侵犯人身财产、妨害社会管理的，应当及时予以制止，依法追究法律责任。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公安机关发现极端主义活动的，应当责令立即停止，将有关人员强行带离现场并登记身份信息，对有关物品、资料予以收缴，对非法活动场所予以查封。</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任何单位和个人发现宣扬极端主义的物品、资料、信息的，应当立即向公安机关报告。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第二十九条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对恐怖活动罪犯和极端主义罪犯被判处徒刑以上刑罚的，监狱、看守所应当在刑满</w:t>
      </w:r>
      <w:r w:rsidRPr="00450229">
        <w:rPr>
          <w:rFonts w:ascii="微软雅黑" w:eastAsia="微软雅黑" w:hAnsi="微软雅黑" w:hint="eastAsia"/>
          <w:sz w:val="22"/>
          <w:szCs w:val="22"/>
        </w:rPr>
        <w:t>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安置教育由省</w:t>
      </w:r>
      <w:r w:rsidRPr="00450229">
        <w:rPr>
          <w:rFonts w:ascii="微软雅黑" w:eastAsia="微软雅黑" w:hAnsi="微软雅黑" w:hint="eastAsia"/>
          <w:sz w:val="22"/>
          <w:szCs w:val="22"/>
        </w:rPr>
        <w:t>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人民检察院对安置教育的决定和执行实行监督。</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重点目标的管理单位</w:t>
      </w:r>
      <w:r w:rsidRPr="00450229">
        <w:rPr>
          <w:rFonts w:ascii="微软雅黑" w:eastAsia="微软雅黑" w:hAnsi="微软雅黑" w:hint="eastAsia"/>
          <w:sz w:val="22"/>
          <w:szCs w:val="22"/>
        </w:rPr>
        <w:t>应当履行下列职责：</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（一）制定防范和应对处置恐怖活动的预案、措施，定期进行培训和演练；</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（二）建立反恐怖主义工作专项经费保障制度，配备、更新防范和处置设备、设施；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（三）指定相关机构或者落实责任人员，明确岗位职责；</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（四）实行风险评估，实时监测安全威胁，完善内部安全管理；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（五）定期向公安机关和有关部门报告防范措施落实情况。</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重点目标的管理单位应当根据城乡规划、相关标准和实际需要，对重点目标同步设计、同步建设、同步运行符合本法第二十七条规定的技防、物防设备、设施。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重点目标的管理</w:t>
      </w:r>
      <w:r w:rsidRPr="00450229">
        <w:rPr>
          <w:rFonts w:ascii="微软雅黑" w:eastAsia="微软雅黑" w:hAnsi="微软雅黑" w:hint="eastAsia"/>
          <w:sz w:val="22"/>
          <w:szCs w:val="22"/>
        </w:rPr>
        <w:t>单位应当建立公共安全视频图像信息系统值班监看、信息保存使用、运行维护等管理制度，保障相关系统正常运行。采集的视频图像信息保存期限不得少于九十日。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对重点目标以外的涉及公共安全的其他单位、场所、活动、设施，其主管部门和管理单位应当依照法律、行政法规规定，建立健全安全管理制度，落实安全责任。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重点目标的管理单位应当对重要岗位人员进行安全背景审查。对有不适合情形的人员，应当调整工作岗位，并将有关情况通报公安机关。</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大型活动承办单位以及重点目标的管理单位应当依照规定，对进入大型活</w:t>
      </w:r>
      <w:r w:rsidRPr="00450229">
        <w:rPr>
          <w:rFonts w:ascii="微软雅黑" w:eastAsia="微软雅黑" w:hAnsi="微软雅黑" w:hint="eastAsia"/>
          <w:sz w:val="22"/>
          <w:szCs w:val="22"/>
        </w:rPr>
        <w:t>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对航空器、列车、船舶、城市轨道车辆、公共电汽车等公共交通运输工具，营运单位应当依照规定配备安保人员和相应设备、设施，加强安全检查和保卫工作。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公安机关和有关部门应当掌握重点目标的基础信息和重要动态，指导、监督重点目标的管理单位履行防范恐怖袭击的各项职责。</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w:t>
      </w:r>
      <w:r w:rsidRPr="00450229">
        <w:rPr>
          <w:rFonts w:ascii="微软雅黑" w:eastAsia="微软雅黑" w:hAnsi="微软雅黑" w:hint="eastAsia"/>
          <w:sz w:val="22"/>
          <w:szCs w:val="22"/>
        </w:rPr>
        <w:t>关、中国人民武装警察部队应当依照有关规定对重点目标进行警戒、巡逻、检查。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飞行管制、民用航空、公安等主管部门应当按照职责分工，加强空域、航空器和飞行活动管理，严密防范针对航空器或者利用飞行活动实施的恐怖活动。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各级人民政府和军事机关应当在重点国（边）境地段和口岸设置拦阻隔离网、视频图像采集和防越境报警设施。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lastRenderedPageBreak/>
        <w:t xml:space="preserve">　　</w:t>
      </w:r>
      <w:r w:rsidRPr="00450229">
        <w:rPr>
          <w:rFonts w:ascii="微软雅黑" w:eastAsia="微软雅黑" w:hAnsi="微软雅黑" w:hint="eastAsia"/>
          <w:sz w:val="22"/>
          <w:szCs w:val="22"/>
        </w:rPr>
        <w:t>公安机关和中国人民解放军应当严密组织国（边）境巡逻，依照规定对抵离国（边）境前沿、进出国（边）境管理区和国（边）境通道、口岸的人员、交通运输工具、物品，以及沿海沿边地区的船舶进行查验。</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第三十九条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出入境证件签发机关、出入境边防检查机关对恐怖活动人员和恐怖活动嫌疑人员，有权决定不准其出境入境、不予签发出境入境证件或者宣布其出境入境证件作废。</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海关、出入境边防检查机关发现恐怖活动嫌疑人员或者涉嫌恐怖活动物品的，应当依法扣留，并立即移送公安机关或者国家安全机关。</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国务院外交、公</w:t>
      </w:r>
      <w:r w:rsidRPr="00450229">
        <w:rPr>
          <w:rFonts w:ascii="微软雅黑" w:eastAsia="微软雅黑" w:hAnsi="微软雅黑" w:hint="eastAsia"/>
          <w:sz w:val="22"/>
          <w:szCs w:val="22"/>
        </w:rPr>
        <w:t>安、国家安全、发展改革、工业和信息化、商务、旅游等主管部门应当建立境外投资合作、旅游等安全风险评估制度，对中国在境外的公民以及驻外机构、设施、财产加强安全保护，防范和应对恐怖袭击。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第四十二条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驻外机构应当建立健全安全防范制度和应对处置预案，加强对有关人员、设施、财产的安全保护。</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第四章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情报信息</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国家反恐怖主义工作领导机构建立国家反恐怖主义情报中心，实行跨部门、跨地区情报信息工作机制，统筹反恐怖主义情报信息工作。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有关部门应当加强反恐怖主义情报信息搜集工作，对搜集的有关线索、人</w:t>
      </w:r>
      <w:r w:rsidRPr="00450229">
        <w:rPr>
          <w:rFonts w:ascii="微软雅黑" w:eastAsia="微软雅黑" w:hAnsi="微软雅黑" w:hint="eastAsia"/>
          <w:sz w:val="22"/>
          <w:szCs w:val="22"/>
        </w:rPr>
        <w:t>员、行动类情报信息，应当依照规定及时统一归口报送国家反恐怖主义情报中心。</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公安机关、国家安全机关和有关部门应当依靠群众，加强基层基础工作，建立基层情报信息工作力量，提高反恐怖主义情报信息工作能力。</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公安机关、国家安全机关、军事机关在其职责范围内，因反恐怖主义情报信息工作的</w:t>
      </w:r>
      <w:r w:rsidRPr="00450229">
        <w:rPr>
          <w:rFonts w:ascii="微软雅黑" w:eastAsia="微软雅黑" w:hAnsi="微软雅黑" w:hint="eastAsia"/>
          <w:sz w:val="22"/>
          <w:szCs w:val="22"/>
        </w:rPr>
        <w:t>需要，根据国家有关规定，经过严格的批准手续，可以采取技术侦察措施。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依照前款规定获取的材料，只能用于反恐怖主义应对处置和对恐怖活动犯罪、极端主义犯罪的侦查、起诉和审判，不得用于其他用途。</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有关部门对于在本法第三章规定的安全防范工作中获取的信息，应当根据国家反恐怖主义情报中心的要求，及时提供。</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国家反恐怖主义情报中心、地方反恐怖主义工作领导机构以及公安机关等有关部门应当对有关情报信息进行筛查、研判、核查、监控，认为有发生恐怖事件危险，需要采取相应的安全防范、应对处置措施的，</w:t>
      </w:r>
      <w:r w:rsidRPr="00450229">
        <w:rPr>
          <w:rFonts w:ascii="微软雅黑" w:eastAsia="微软雅黑" w:hAnsi="微软雅黑" w:hint="eastAsia"/>
          <w:sz w:val="22"/>
          <w:szCs w:val="22"/>
        </w:rPr>
        <w:t>应当及时通报有关部门和单位，并可以根据情况发出预警。有关部门和单位应当根据通报做好安全防范、应对处置工作。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反恐怖主义工作领导机构、有关部门和单位、个人应当对履行反恐怖主义工作职责、义务过程中知悉的国家秘密、商业秘密和个人隐私予以保密。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违反规定泄露国家秘密、商业秘密和个人隐私的，依法追究法律责任。</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第五章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调查</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第四十九条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公安机关接到恐怖活动嫌疑的报告或者发现恐怖活动嫌疑，需要调查核实的，应当迅速进行调查。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公安机关调查恐怖活动嫌疑，可以依照有关法律规定对嫌疑人员进行盘问、检查、传唤，可以提取或者采集肖像、指纹、虹膜图像等人体生物识别信息和血液、尿液、脱落细胞等生物样本，并留存其签名。</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公安机关调查恐怖活动嫌疑，可以通知了解有关情况的人员到公安机关或者其他地点接受询问。</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公安机关调查恐怖活动嫌疑，有权向有关单位和个人收集、调取相关信息和材料。有关单位和个人应当如实提供。</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公安机关调查恐怖活动嫌疑，经县级以上公安机关负责人批准，可以查询嫌疑人员的存款、汇款、债券、股票、基金份额</w:t>
      </w:r>
      <w:r w:rsidRPr="00450229">
        <w:rPr>
          <w:rFonts w:ascii="微软雅黑" w:eastAsia="微软雅黑" w:hAnsi="微软雅黑" w:hint="eastAsia"/>
          <w:sz w:val="22"/>
          <w:szCs w:val="22"/>
        </w:rPr>
        <w:t>等财产，可以采取查封、扣押、冻结措施。查封、扣押、冻结的期限不得超过二个月，情况复杂的，可以经上一级公安机关负责人批准延长一个月。</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公安机关调查恐怖活动嫌疑，经县级以上公安机关负责人批准，可以根据其危险程度，责令恐怖活动嫌疑人员遵守下列一项或者多项约束措施：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（一）未经公安机关批准不得离开所居住的市、县或者指定的处所；</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（二）不得参加大型群众性活动或者从事特定的活动；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（三）未经公安机关批准不得乘坐公共交通工具或者进入特定的场所；</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（四）不得与特定的人员会见或者通信；</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（五）定期向公安机关报告活动情况；</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（六）将护照等出入境证件、身份证件、驾驶证件交公安机关保存。</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公安机关可以采取电子监控、不定期检查等方式对其遵守约束措施的情况进行监督。</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采取前两款规定的约束措施的期限不得超过三个月。对不需要继续采取约束措施的，应当及时解除。</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第五十四条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公安机关经调查，发现犯罪事实或者犯罪嫌疑人的，应当依照刑事诉讼法的规定立案侦查。本章规定的有关期限届满，公安机关未立案侦查的，应当解除有关措施。</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lastRenderedPageBreak/>
        <w:t>第六章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应对处置</w:t>
      </w:r>
    </w:p>
    <w:p w:rsidR="00795C74" w:rsidRPr="00450229" w:rsidRDefault="00795C74" w:rsidP="00450229">
      <w:pPr>
        <w:spacing w:line="240" w:lineRule="exact"/>
        <w:rPr>
          <w:rFonts w:ascii="微软雅黑" w:eastAsia="微软雅黑" w:hAnsi="微软雅黑"/>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国家建立健全恐怖事件应对处置预案体系</w:t>
      </w:r>
      <w:r w:rsidRPr="00450229">
        <w:rPr>
          <w:rFonts w:ascii="微软雅黑" w:eastAsia="微软雅黑" w:hAnsi="微软雅黑" w:hint="eastAsia"/>
          <w:sz w:val="22"/>
          <w:szCs w:val="22"/>
        </w:rPr>
        <w:t>。</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有关部门、地方反恐怖主义工作领导机构应当制定相应的应对处置预案。</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恐怖事件发生后，发生地反恐怖主义工作领</w:t>
      </w:r>
      <w:r w:rsidRPr="00450229">
        <w:rPr>
          <w:rFonts w:ascii="微软雅黑" w:eastAsia="微软雅黑" w:hAnsi="微软雅黑" w:hint="eastAsia"/>
          <w:sz w:val="22"/>
          <w:szCs w:val="22"/>
        </w:rPr>
        <w:t>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上级反恐怖主义工作领导机构可以对应对处置工作进行指导，必要时调动有关反恐怖主义力量进行支援。</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需要进入紧急状态的，由全国人民代表大会常务委员会或者国务院依照宪法和其他有关法律规定的权限和程序决定。</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发现恐怖事件或者疑似恐怖事件后，公安机关应当立即进行处置，并向反恐怖主义工作</w:t>
      </w:r>
      <w:r w:rsidRPr="00450229">
        <w:rPr>
          <w:rFonts w:ascii="微软雅黑" w:eastAsia="微软雅黑" w:hAnsi="微软雅黑" w:hint="eastAsia"/>
          <w:sz w:val="22"/>
          <w:szCs w:val="22"/>
        </w:rPr>
        <w:t>领导机构报告；中国人民解放军、中国人民武装警察部队发现正在实施恐怖活动的，应当立即予以控制并将案件及时移交公安机关。</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指挥长确定后，现场指挥员应当向其请示、报告工作或者有关情况。</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第五十九条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中华人民共和国在境外的机构、人员、重要设</w:t>
      </w:r>
      <w:r w:rsidRPr="00450229">
        <w:rPr>
          <w:rFonts w:ascii="微软雅黑" w:eastAsia="微软雅黑" w:hAnsi="微软雅黑" w:hint="eastAsia"/>
          <w:sz w:val="22"/>
          <w:szCs w:val="22"/>
        </w:rPr>
        <w:t>施遭受或者可能遭受恐怖袭击的，国务院外交、公安、国家安全、商务、金融、国有资产监督管理、旅游、交通运输等主管部门应当及时启动应对处置预案。国务院外交部门应当协调有关国家采取相应措施。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中华人民共和国在境外的机构、人员、重要设施遭受严重恐怖袭击后，经与有关国家协商同意，国家反恐怖主义工作领导机构可以组织外交、公安、国家安全等部门派出工作人员赴境外开展应对处置工作。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应对处置恐怖事件，应当优先保护直接受到恐怖活动危害、威胁人员的人身安全。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恐怖事件发生后，负责应对处置的反恐怖主</w:t>
      </w:r>
      <w:r w:rsidRPr="00450229">
        <w:rPr>
          <w:rFonts w:ascii="微软雅黑" w:eastAsia="微软雅黑" w:hAnsi="微软雅黑" w:hint="eastAsia"/>
          <w:sz w:val="22"/>
          <w:szCs w:val="22"/>
        </w:rPr>
        <w:t>义工作领导机构可以决定由有关部门和单位采取下列一项或者多项应对处置措施：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（一）组织营救和救治受害人员，疏散、撤离并妥善安置受到威胁的人员以及采取其他救助措施；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（二）封锁现场和周边道路，查验现场人员的身份证件，在有关场所附近设置临时警戒线；</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（三）在特定区域内实施空域、海（水）域管制，对特定区域内的交通运输工具进行检查；</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（四）在特定区域内实施互联网、无线电、通讯管制；</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（五）在特定区域内或者针对特定人员实施出境入境管制；</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（六）禁止或者限制使用有关设备、设施，关闭或者限制使用有关场所，中止人员密集的活动或者可能导致危害扩大的生产经营活动；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（七）抢修被损坏的交通、电信、互联网、广播电视、供水、排水、供电、供气、供热等公共设施；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（八）组织志愿人员参加反恐怖主义救援工作，要求具有特定专长的人员提供服务；</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（九）其他必要的应对处置措施。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采取前款第三项至第五项规定的应对处置措施，由省级以上反恐怖主义工作领导机构决定或者批准；采取前款第六项规定的应对处置措施，由设区的市级以上反恐怖主义工作领导机构决定。应对处置措施</w:t>
      </w:r>
      <w:r w:rsidRPr="00450229">
        <w:rPr>
          <w:rFonts w:ascii="微软雅黑" w:eastAsia="微软雅黑" w:hAnsi="微软雅黑" w:hint="eastAsia"/>
          <w:sz w:val="22"/>
          <w:szCs w:val="22"/>
        </w:rPr>
        <w:t>应当明确适用的时间和空间范围，并向社会公布。</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恐怖事件发生、发展和应对处置信息，由恐怖事件发生地的省级反恐怖主义工作领导机构统一发布；跨省、自治区、直辖市发生的恐怖事件，由指定的省级反恐怖主义工作领导机构统一发布。</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恐怖事件应对处置结束后，各级人民政府应当组织有关部门帮助受影响的单位和个人尽快恢复生活、生产，稳定受影响地区的社会秩序和公众情绪。</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当地人民政府应当及时给予恐怖事件受害人员及其近亲属适当的救助</w:t>
      </w:r>
      <w:r w:rsidRPr="00450229">
        <w:rPr>
          <w:rFonts w:ascii="微软雅黑" w:eastAsia="微软雅黑" w:hAnsi="微软雅黑" w:hint="eastAsia"/>
          <w:sz w:val="22"/>
          <w:szCs w:val="22"/>
        </w:rPr>
        <w:t>，并向失去基本生活条件的受害人员及其近亲属及时提供基本生活保障。卫生、医疗保障等主管部门应当为恐怖事件受害人员及其近亲属提供心理、医疗等方面的援助。</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公安机关应当及时对恐怖事件立案侦查，查明事件发生的原因、经过和结果，依法追究恐怖活动组织、人员的刑事责任。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lastRenderedPageBreak/>
        <w:t xml:space="preserve">　　</w:t>
      </w:r>
      <w:r w:rsidRPr="00450229">
        <w:rPr>
          <w:rFonts w:ascii="微软雅黑" w:eastAsia="微软雅黑" w:hAnsi="微软雅黑" w:cs="黑体" w:hint="eastAsia"/>
          <w:sz w:val="22"/>
          <w:szCs w:val="22"/>
        </w:rPr>
        <w:t>第六十七条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反恐怖主义工作领导机构应当对恐怖事件的发生和应对处置工作进行全面分析、总结评估，提出防范和应对处置改进措施，向上一级反恐怖主义工作领导机构报告。</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第七章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国际合作</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中华人民共和国根据缔结或者参加的国际条</w:t>
      </w:r>
      <w:r w:rsidRPr="00450229">
        <w:rPr>
          <w:rFonts w:ascii="微软雅黑" w:eastAsia="微软雅黑" w:hAnsi="微软雅黑" w:hint="eastAsia"/>
          <w:sz w:val="22"/>
          <w:szCs w:val="22"/>
        </w:rPr>
        <w:t>约，或者按照平等互惠原则，与其他国家、地区、国际组织开展反恐怖主义合作。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第六十九条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国务院有关部门根据国务院授权，代表中国政府与外国政府和有关国际组织开展反恐怖主义政策对话、情报信息交流、执法合作和国际资金监管合作。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涉及恐怖活动犯罪的刑事司法协助、引渡和被判刑人移管，依照有关法律规定执行。</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经与有关国家达成协议，并报国务院批准，国务院公安部门、国家安全部门可以派员出境执行反恐怖主义任务。</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中国人民解放军、中国人民武装警察部队派员出境执行反恐怖主义任务，由中央军事委员会批准。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第七十二条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通过反恐怖主义国际合作取得的材料可以在行政处罚、刑事诉讼中作为证据使用，但我方承诺不作为证据使用的除外。</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sz w:val="22"/>
          <w:szCs w:val="22"/>
        </w:rPr>
      </w:pPr>
      <w:r w:rsidRPr="00450229">
        <w:rPr>
          <w:rFonts w:ascii="微软雅黑" w:eastAsia="微软雅黑" w:hAnsi="微软雅黑" w:cs="黑体" w:hint="eastAsia"/>
          <w:sz w:val="22"/>
          <w:szCs w:val="22"/>
        </w:rPr>
        <w:t>第八章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保障措施</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国务院和县级以上地方各级人民政府应当按照事权划分，将反恐怖主义工作经费分别列入同级财政预算。</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国家对反恐怖主义重点地区给予必要的经费支持，对应对处置大规模恐怖事件给予经费保障。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公安机关、国家安全机关和有关部门，以及中国人民解放军、中国人民武装警察部队，应当依照法律规定的职责，建立反恐怖主义专业力量，加强专业训练，配备必要的反恐怖主义专业设备、设施。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县级、乡级人民政府根据需要，指导有关单位、村民委员会、居民委员会建立反恐怖主义工作力量、志愿者队伍，协助、配合有关部门开展反恐怖主义工作。</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对因履行反恐怖主义工作职责或者协助、配合有关部门开展反恐怖主义工作导致伤残或者死亡的人员，按照国家有关规定给予相应的待遇。</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（一）不公开真实姓名、住址和工作单位等个人信息；</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（二）禁止特定的人接触被保护人员；</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（三）对人身和住宅采取专门性保护措施；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（四）变更被保护人员的姓名，重新安排住</w:t>
      </w:r>
      <w:r w:rsidRPr="00450229">
        <w:rPr>
          <w:rFonts w:ascii="微软雅黑" w:eastAsia="微软雅黑" w:hAnsi="微软雅黑" w:hint="eastAsia"/>
          <w:sz w:val="22"/>
          <w:szCs w:val="22"/>
        </w:rPr>
        <w:t>所和工作单位；</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（五）其他必要的保护措施。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公安机关、有关部门应当依照前款规定，采取不公开被保护单位的真实名称、地址，禁止特定的人接近被保护单位，对被保护单位办公、经营场所采取专门性保护措施，以及其他必要的保护措施。</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国家鼓励、支持反恐怖主义科学研究和技术创新，开发和推广使用先进的反恐怖主义技术、设备。</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公安机关、国家安全机关、中国人民解放军、中国人民武装警察部队因履行反恐怖主义职责的紧急需要，根据国家有关规定，可以征用单位和个人的财产。任务完成后应当及时归还或者恢复</w:t>
      </w:r>
      <w:r w:rsidRPr="00450229">
        <w:rPr>
          <w:rFonts w:ascii="微软雅黑" w:eastAsia="微软雅黑" w:hAnsi="微软雅黑" w:hint="eastAsia"/>
          <w:sz w:val="22"/>
          <w:szCs w:val="22"/>
        </w:rPr>
        <w:t>原状，并依照规定支付相应费用；造成损失的，应当补偿。</w:t>
      </w:r>
    </w:p>
    <w:p w:rsidR="00795C74" w:rsidRPr="00450229" w:rsidRDefault="007121CA" w:rsidP="00450229">
      <w:pPr>
        <w:spacing w:line="240" w:lineRule="exact"/>
        <w:ind w:firstLine="655"/>
        <w:rPr>
          <w:rFonts w:ascii="微软雅黑" w:eastAsia="微软雅黑" w:hAnsi="微软雅黑"/>
          <w:sz w:val="22"/>
          <w:szCs w:val="22"/>
        </w:rPr>
      </w:pPr>
      <w:r w:rsidRPr="00450229">
        <w:rPr>
          <w:rFonts w:ascii="微软雅黑" w:eastAsia="微软雅黑" w:hAnsi="微软雅黑" w:hint="eastAsia"/>
          <w:sz w:val="22"/>
          <w:szCs w:val="22"/>
        </w:rPr>
        <w:t>因开展反恐怖主义工作对有关单位和个人的合法权益造成损害的，应当依法给予赔偿、补偿。有关单位和个人有权依法请求赔偿、补偿。</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cs="黑体"/>
          <w:sz w:val="22"/>
          <w:szCs w:val="22"/>
        </w:rPr>
      </w:pPr>
      <w:r w:rsidRPr="00450229">
        <w:rPr>
          <w:rFonts w:ascii="微软雅黑" w:eastAsia="微软雅黑" w:hAnsi="微软雅黑" w:cs="黑体" w:hint="eastAsia"/>
          <w:sz w:val="22"/>
          <w:szCs w:val="22"/>
        </w:rPr>
        <w:t>第九章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法律责任</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第七十九条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参与下列活动之一，情</w:t>
      </w:r>
      <w:r w:rsidRPr="00450229">
        <w:rPr>
          <w:rFonts w:ascii="微软雅黑" w:eastAsia="微软雅黑" w:hAnsi="微软雅黑" w:hint="eastAsia"/>
          <w:sz w:val="22"/>
          <w:szCs w:val="22"/>
        </w:rPr>
        <w:t>节轻微，尚不构成犯罪的，由公安机关处十日以上十五日以下拘留，可以并处一万元以下罚款：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（一）宣扬恐怖主义、极端主义或者煽动实施恐怖活动、极端主义活动的；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（二）制作、传播、非法持有宣扬恐怖主义、极端主义的物品的；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（三）强制他人在公共场所穿戴宣扬恐怖主义、极端主义的服饰、标志的；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（四）为宣扬恐怖主义、极端主义或者实施恐怖主义、极端主义活动提供信息、资金、物资、劳务、技术、场所等支持、协助、便利的。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利用极端主义，实施下列行为之一，情节轻微，尚不构成犯罪的，由公安机关处五日以上十五日以下拘留，可以并处一万元以下罚款：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（一）强迫他人参加宗教活动，或者强迫他人向宗教活动场所、宗教教职人员提供财物或者劳务的；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（二）以恐吓、骚扰等方式驱赶其他民族或者有其他信仰的人员离开居住地的；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lastRenderedPageBreak/>
        <w:t xml:space="preserve">　　</w:t>
      </w:r>
      <w:r w:rsidRPr="00450229">
        <w:rPr>
          <w:rFonts w:ascii="微软雅黑" w:eastAsia="微软雅黑" w:hAnsi="微软雅黑" w:hint="eastAsia"/>
          <w:sz w:val="22"/>
          <w:szCs w:val="22"/>
        </w:rPr>
        <w:t>（三）以恐吓、骚扰等方式干涉他人与其他民族或者有其他信仰的人员交往、共同生活的；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（四）以恐吓、骚扰等方式干涉他人生活习俗、方式和生产经营的；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（五）阻碍国家机关工作人员依法执行职务的；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（六）歪曲、诋毁国家政策、法律、行政法规，煽动、教唆抵制人民政府依法管理的；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（七）煽动、胁迫群众损毁或者故意损毁居民身份证、户口簿等国家法定证件以及人民币的；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（八）煽动、胁迫他人以宗教仪式取代结婚、离婚登记的；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（九）煽动、胁迫未成年人不接受义务教育的；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（十）其他利用极端主义破坏国家法律制度实施的。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明知他人有恐怖活动犯罪、极端主义犯罪行为，窝藏、包庇，情节轻微，尚不构成犯罪的，或者在司法机关向其调查有关情况、收集有关证据时，拒绝提供的，由公安机关处十日以上十五日以下拘</w:t>
      </w:r>
      <w:r w:rsidRPr="00450229">
        <w:rPr>
          <w:rFonts w:ascii="微软雅黑" w:eastAsia="微软雅黑" w:hAnsi="微软雅黑" w:hint="eastAsia"/>
          <w:sz w:val="22"/>
          <w:szCs w:val="22"/>
        </w:rPr>
        <w:t>留，可以并处一万元以下罚款。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电信业务经营者、互联网服务提供者有下列情形之一的，由主管部门</w:t>
      </w:r>
      <w:r w:rsidRPr="00450229">
        <w:rPr>
          <w:rFonts w:ascii="微软雅黑" w:eastAsia="微软雅黑" w:hAnsi="微软雅黑" w:hint="eastAsia"/>
          <w:sz w:val="22"/>
          <w:szCs w:val="22"/>
        </w:rPr>
        <w:t>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（一）未依照规定为公安机关、国家安全机关依法进行防范、调查恐怖活动提供技术接口和解密等技术支持和协助的；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（二）未按照主管部门的要求，停止传输、删除含有恐怖主义、极端主义内容的信息，保存相关记录，关闭相关网站或者关停相关服</w:t>
      </w:r>
      <w:r w:rsidRPr="00450229">
        <w:rPr>
          <w:rFonts w:ascii="微软雅黑" w:eastAsia="微软雅黑" w:hAnsi="微软雅黑" w:hint="eastAsia"/>
          <w:sz w:val="22"/>
          <w:szCs w:val="22"/>
        </w:rPr>
        <w:t>务的；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（三）未落实网络安全、信息内容监督制度和安全技术防范措施，造成含有恐怖主义、极端主义内容的信息传播，情节严重的。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第八十五条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铁路、公路、水上、航空的货运和邮政、快递等物流运营单位有下列情形之一的，由主管部门处十万元以上五十万元以下罚款，并对其直接负责的主管人员和其他直接责任人员处十万元以下罚款：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（一）未实行安全查验制度，对客户身份进行查验，或者未依照规定对运输、寄递物品进行安全检查或者开封验视的；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（二）对禁止运输、寄递，存在重大安全隐患，或者客户拒绝安全查验的物品予以运输、寄递</w:t>
      </w:r>
      <w:r w:rsidRPr="00450229">
        <w:rPr>
          <w:rFonts w:ascii="微软雅黑" w:eastAsia="微软雅黑" w:hAnsi="微软雅黑" w:hint="eastAsia"/>
          <w:sz w:val="22"/>
          <w:szCs w:val="22"/>
        </w:rPr>
        <w:t>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（三）未实行运输、寄递客户身份、物品信息登记制度的。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住宿、长途客运、机动车租赁等业务经营者、服务提供者有前款规定情形的，由主管部门处</w:t>
      </w:r>
      <w:r w:rsidRPr="00450229">
        <w:rPr>
          <w:rFonts w:ascii="微软雅黑" w:eastAsia="微软雅黑" w:hAnsi="微软雅黑" w:hint="eastAsia"/>
          <w:sz w:val="22"/>
          <w:szCs w:val="22"/>
        </w:rPr>
        <w:t>十万元以上五十万元以下罚款，并对其直接负责的主管人员和其他直接责任人员处十万元以下罚款。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第八十七条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违反本法规定，有下列情形之一的，由主管部门给予警告，并责令改正；拒不改正的，处十万元以下罚款，并对其直接负责的主管人员和其他直接责任人员处一万元以下罚款：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（一）未依照规定对枪支等武器、弹药、管制器具、危险化学品、民用爆炸物品、核与放射物品作出电子追踪标识，对民用爆炸物品添加安检示踪标识物的；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（二）未依照规定对运营中的危险化学品、民用爆炸物品、核与放射物品的运输工具通过定位系统实行监控的；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（三）未依照规定对传染病病原体等物质实行严格的监督管理，情节严重的；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（四）违反国务院有关主管部门或者省级人民政府对管制器具、危险化学品、民用爆炸物品决定的管制或者限制交易措施的。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第八十八条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（一）未制定防范和应对处置恐怖活动的预案、措施的；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（二）未建立反恐怖主义工作专项经费保障制度，或者未配备</w:t>
      </w:r>
      <w:r w:rsidRPr="00450229">
        <w:rPr>
          <w:rFonts w:ascii="微软雅黑" w:eastAsia="微软雅黑" w:hAnsi="微软雅黑" w:hint="eastAsia"/>
          <w:sz w:val="22"/>
          <w:szCs w:val="22"/>
        </w:rPr>
        <w:t>防范和处置设备、设施的；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（三）未落实工作机构或者责任人员的；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（四）未对重要岗位人员进行安全背景审查，或者未将有不适合情形的人员调整工作岗位的；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（五）对公共交通运输工具未依照规定配备安保人员和相应设备、设施的；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（六）未建立公共安全视频图像信息系统值班监看、信息保存使用、运行维护等管理制度的。</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第八十九条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恐怖活动嫌疑人员违反公安机关责令其遵守的约束措施的，由公安机关给予警告，并责令改正；拒不改正的，处五日以上十五日以下拘留。</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新闻媒体等单位编造、传播虚假恐怖事件信息，报道、传播可能引起模仿的恐怖活</w:t>
      </w:r>
      <w:r w:rsidRPr="00450229">
        <w:rPr>
          <w:rFonts w:ascii="微软雅黑" w:eastAsia="微软雅黑" w:hAnsi="微软雅黑" w:hint="eastAsia"/>
          <w:sz w:val="22"/>
          <w:szCs w:val="22"/>
        </w:rPr>
        <w:t>动的实施</w:t>
      </w:r>
      <w:r w:rsidRPr="00450229">
        <w:rPr>
          <w:rFonts w:ascii="微软雅黑" w:eastAsia="微软雅黑" w:hAnsi="微软雅黑" w:hint="eastAsia"/>
          <w:sz w:val="22"/>
          <w:szCs w:val="22"/>
        </w:rPr>
        <w:lastRenderedPageBreak/>
        <w:t>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个人有前款规定行为的，由公安机关处五日以上十五日以下拘留，可以并处一万元以下罚款。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第九十一条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拒不配合有关部门开展反恐怖主义安全防范、情报信息、调查、应对处置工作的，由主管部门处二千元以下罚款；造成严重后果的，处五日以上十五日以下拘留，可以并处一</w:t>
      </w:r>
      <w:r w:rsidRPr="00450229">
        <w:rPr>
          <w:rFonts w:ascii="微软雅黑" w:eastAsia="微软雅黑" w:hAnsi="微软雅黑" w:hint="eastAsia"/>
          <w:sz w:val="22"/>
          <w:szCs w:val="22"/>
        </w:rPr>
        <w:t>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单位有前款规定行为的，由主管部门处五万元以下罚款；造成严重后果的，处十万元以下罚款；并对其直接负责的主管人员和其他直接责任人员依照前款规定处罚。</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第九十二条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阻碍有关部门开展反恐怖主义工作的，由公安机关处五日以上十五日以下拘留，可以并处五万元以下罚款。</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单位有前款规定行为的，由公安机关处二十万元以下罚款，并对其直接负责的主管人员和其他直接责任人员依照前款规定处罚。</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阻碍人民警察、人民解放军、人民武装警察依法执行职务的，从重处罚。</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第九十三条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单位违反本法规定，情节严重的，</w:t>
      </w:r>
      <w:r w:rsidRPr="00450229">
        <w:rPr>
          <w:rFonts w:ascii="微软雅黑" w:eastAsia="微软雅黑" w:hAnsi="微软雅黑" w:hint="eastAsia"/>
          <w:sz w:val="22"/>
          <w:szCs w:val="22"/>
        </w:rPr>
        <w:t>由主管部门责令停止从事相关业务、提供相关服务或者责令停产停业；造成严重后果的，吊销有关证照或者撤销登记。</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第九十四条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反恐怖主义工作领导机构、有关部门及其工作人员在反恐怖主义工作中滥用职权、玩忽职守、徇私舞弊或者有其他违法违纪行为的，任何单位和个人有权向有关部门检举、控告。有关部门接到检举、控告后</w:t>
      </w:r>
      <w:r w:rsidRPr="00450229">
        <w:rPr>
          <w:rFonts w:ascii="微软雅黑" w:eastAsia="微软雅黑" w:hAnsi="微软雅黑" w:hint="eastAsia"/>
          <w:sz w:val="22"/>
          <w:szCs w:val="22"/>
        </w:rPr>
        <w:t>，应当及时处理并回复检举、控告人。</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第九十五条</w:t>
      </w:r>
      <w:r w:rsidRPr="00450229">
        <w:rPr>
          <w:rFonts w:ascii="微软雅黑" w:eastAsia="微软雅黑" w:hAnsi="微软雅黑" w:cs="黑体" w:hint="eastAsia"/>
          <w:sz w:val="22"/>
          <w:szCs w:val="22"/>
        </w:rPr>
        <w:t xml:space="preserve">　</w:t>
      </w:r>
      <w:r w:rsidRPr="00450229">
        <w:rPr>
          <w:rFonts w:ascii="微软雅黑" w:eastAsia="微软雅黑" w:hAnsi="微软雅黑" w:hint="eastAsia"/>
          <w:sz w:val="22"/>
          <w:szCs w:val="22"/>
        </w:rPr>
        <w:t>对依照本法规定查封、扣押、冻结、扣留、收缴的物品、资金等，经审查发现与恐怖主义无关的，应当及时解除有关措施，予以退还。</w:t>
      </w: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第九十六条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有关单位和个人对依照本法作出的行政处罚和行政强制措施决定不服的，可以依法申请行政复议或者提起行政诉讼。</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jc w:val="center"/>
        <w:rPr>
          <w:rFonts w:ascii="微软雅黑" w:eastAsia="微软雅黑" w:hAnsi="微软雅黑"/>
          <w:sz w:val="22"/>
          <w:szCs w:val="22"/>
        </w:rPr>
      </w:pPr>
      <w:r w:rsidRPr="00450229">
        <w:rPr>
          <w:rFonts w:ascii="微软雅黑" w:eastAsia="微软雅黑" w:hAnsi="微软雅黑" w:cs="黑体" w:hint="eastAsia"/>
          <w:sz w:val="22"/>
          <w:szCs w:val="22"/>
        </w:rPr>
        <w:t>第十章</w:t>
      </w:r>
      <w:r w:rsidRPr="00450229">
        <w:rPr>
          <w:rFonts w:ascii="微软雅黑" w:eastAsia="微软雅黑" w:hAnsi="微软雅黑" w:cs="黑体" w:hint="eastAsia"/>
          <w:sz w:val="22"/>
          <w:szCs w:val="22"/>
        </w:rPr>
        <w:t xml:space="preserve">　</w:t>
      </w:r>
      <w:r w:rsidRPr="00450229">
        <w:rPr>
          <w:rFonts w:ascii="微软雅黑" w:eastAsia="微软雅黑" w:hAnsi="微软雅黑" w:cs="黑体" w:hint="eastAsia"/>
          <w:sz w:val="22"/>
          <w:szCs w:val="22"/>
        </w:rPr>
        <w:t>附</w:t>
      </w:r>
      <w:bookmarkStart w:id="0" w:name="_GoBack"/>
      <w:bookmarkEnd w:id="0"/>
      <w:r w:rsidRPr="00450229">
        <w:rPr>
          <w:rFonts w:ascii="微软雅黑" w:eastAsia="微软雅黑" w:hAnsi="微软雅黑" w:cs="黑体" w:hint="eastAsia"/>
          <w:sz w:val="22"/>
          <w:szCs w:val="22"/>
        </w:rPr>
        <w:t>则</w:t>
      </w:r>
    </w:p>
    <w:p w:rsidR="00795C74" w:rsidRPr="00450229" w:rsidRDefault="00795C74" w:rsidP="00450229">
      <w:pPr>
        <w:spacing w:line="240" w:lineRule="exact"/>
        <w:rPr>
          <w:rFonts w:ascii="微软雅黑" w:eastAsia="微软雅黑" w:hAnsi="微软雅黑" w:cs="宋体"/>
          <w:sz w:val="22"/>
          <w:szCs w:val="22"/>
        </w:rPr>
      </w:pPr>
    </w:p>
    <w:p w:rsidR="00795C74" w:rsidRPr="00450229" w:rsidRDefault="007121CA" w:rsidP="00450229">
      <w:pPr>
        <w:spacing w:line="240" w:lineRule="exact"/>
        <w:rPr>
          <w:rFonts w:ascii="微软雅黑" w:eastAsia="微软雅黑" w:hAnsi="微软雅黑"/>
          <w:sz w:val="22"/>
          <w:szCs w:val="22"/>
        </w:rPr>
      </w:pPr>
      <w:r w:rsidRPr="00450229">
        <w:rPr>
          <w:rFonts w:ascii="微软雅黑" w:eastAsia="微软雅黑" w:hAnsi="微软雅黑" w:hint="eastAsia"/>
          <w:sz w:val="22"/>
          <w:szCs w:val="22"/>
        </w:rPr>
        <w:t xml:space="preserve">　　</w:t>
      </w:r>
      <w:r w:rsidRPr="00450229">
        <w:rPr>
          <w:rFonts w:ascii="微软雅黑" w:eastAsia="微软雅黑" w:hAnsi="微软雅黑" w:cs="黑体" w:hint="eastAsia"/>
          <w:sz w:val="22"/>
          <w:szCs w:val="22"/>
        </w:rPr>
        <w:t>第九十七条</w:t>
      </w:r>
      <w:r w:rsidRPr="00450229">
        <w:rPr>
          <w:rFonts w:ascii="微软雅黑" w:eastAsia="微软雅黑" w:hAnsi="微软雅黑" w:hint="eastAsia"/>
          <w:sz w:val="22"/>
          <w:szCs w:val="22"/>
        </w:rPr>
        <w:t xml:space="preserve">　</w:t>
      </w:r>
      <w:r w:rsidRPr="00450229">
        <w:rPr>
          <w:rFonts w:ascii="微软雅黑" w:eastAsia="微软雅黑" w:hAnsi="微软雅黑" w:hint="eastAsia"/>
          <w:sz w:val="22"/>
          <w:szCs w:val="22"/>
        </w:rPr>
        <w:t>本法自</w:t>
      </w:r>
      <w:r w:rsidRPr="00450229">
        <w:rPr>
          <w:rFonts w:ascii="微软雅黑" w:eastAsia="微软雅黑" w:hAnsi="微软雅黑"/>
          <w:sz w:val="22"/>
          <w:szCs w:val="22"/>
        </w:rPr>
        <w:t>2016</w:t>
      </w:r>
      <w:r w:rsidRPr="00450229">
        <w:rPr>
          <w:rFonts w:ascii="微软雅黑" w:eastAsia="微软雅黑" w:hAnsi="微软雅黑" w:hint="eastAsia"/>
          <w:sz w:val="22"/>
          <w:szCs w:val="22"/>
        </w:rPr>
        <w:t>年</w:t>
      </w:r>
      <w:r w:rsidRPr="00450229">
        <w:rPr>
          <w:rFonts w:ascii="微软雅黑" w:eastAsia="微软雅黑" w:hAnsi="微软雅黑"/>
          <w:sz w:val="22"/>
          <w:szCs w:val="22"/>
        </w:rPr>
        <w:t>1</w:t>
      </w:r>
      <w:r w:rsidRPr="00450229">
        <w:rPr>
          <w:rFonts w:ascii="微软雅黑" w:eastAsia="微软雅黑" w:hAnsi="微软雅黑" w:hint="eastAsia"/>
          <w:sz w:val="22"/>
          <w:szCs w:val="22"/>
        </w:rPr>
        <w:t>月</w:t>
      </w:r>
      <w:r w:rsidRPr="00450229">
        <w:rPr>
          <w:rFonts w:ascii="微软雅黑" w:eastAsia="微软雅黑" w:hAnsi="微软雅黑"/>
          <w:sz w:val="22"/>
          <w:szCs w:val="22"/>
        </w:rPr>
        <w:t>1</w:t>
      </w:r>
      <w:r w:rsidRPr="00450229">
        <w:rPr>
          <w:rFonts w:ascii="微软雅黑" w:eastAsia="微软雅黑" w:hAnsi="微软雅黑" w:hint="eastAsia"/>
          <w:sz w:val="22"/>
          <w:szCs w:val="22"/>
        </w:rPr>
        <w:t>日起施行。</w:t>
      </w:r>
      <w:r w:rsidRPr="00450229">
        <w:rPr>
          <w:rFonts w:ascii="微软雅黑" w:eastAsia="微软雅黑" w:hAnsi="微软雅黑"/>
          <w:sz w:val="22"/>
          <w:szCs w:val="22"/>
        </w:rPr>
        <w:t>2011</w:t>
      </w:r>
      <w:r w:rsidRPr="00450229">
        <w:rPr>
          <w:rFonts w:ascii="微软雅黑" w:eastAsia="微软雅黑" w:hAnsi="微软雅黑" w:hint="eastAsia"/>
          <w:sz w:val="22"/>
          <w:szCs w:val="22"/>
        </w:rPr>
        <w:t>年</w:t>
      </w:r>
      <w:r w:rsidRPr="00450229">
        <w:rPr>
          <w:rFonts w:ascii="微软雅黑" w:eastAsia="微软雅黑" w:hAnsi="微软雅黑"/>
          <w:sz w:val="22"/>
          <w:szCs w:val="22"/>
        </w:rPr>
        <w:t>10</w:t>
      </w:r>
      <w:r w:rsidRPr="00450229">
        <w:rPr>
          <w:rFonts w:ascii="微软雅黑" w:eastAsia="微软雅黑" w:hAnsi="微软雅黑" w:hint="eastAsia"/>
          <w:sz w:val="22"/>
          <w:szCs w:val="22"/>
        </w:rPr>
        <w:t>月</w:t>
      </w:r>
      <w:r w:rsidRPr="00450229">
        <w:rPr>
          <w:rFonts w:ascii="微软雅黑" w:eastAsia="微软雅黑" w:hAnsi="微软雅黑"/>
          <w:sz w:val="22"/>
          <w:szCs w:val="22"/>
        </w:rPr>
        <w:t>29</w:t>
      </w:r>
      <w:r w:rsidRPr="00450229">
        <w:rPr>
          <w:rFonts w:ascii="微软雅黑" w:eastAsia="微软雅黑" w:hAnsi="微软雅黑" w:hint="eastAsia"/>
          <w:sz w:val="22"/>
          <w:szCs w:val="22"/>
        </w:rPr>
        <w:t>日第十一届全国人民代表大会常务委员会第二十三次会议通过的《全国人民代表大会常务委员会关于加强反恐怖工作有关问题的决定》同时废止。</w:t>
      </w:r>
    </w:p>
    <w:sectPr w:rsidR="00795C74" w:rsidRPr="00450229" w:rsidSect="00450229">
      <w:headerReference w:type="even" r:id="rId9"/>
      <w:headerReference w:type="default" r:id="rId10"/>
      <w:footerReference w:type="even" r:id="rId11"/>
      <w:footerReference w:type="default" r:id="rId12"/>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CA" w:rsidRDefault="007121CA" w:rsidP="00795C74">
      <w:r>
        <w:separator/>
      </w:r>
    </w:p>
  </w:endnote>
  <w:endnote w:type="continuationSeparator" w:id="0">
    <w:p w:rsidR="007121CA" w:rsidRDefault="007121CA" w:rsidP="00795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74" w:rsidRDefault="00795C7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95C74" w:rsidRDefault="007121CA">
                <w:pPr>
                  <w:pStyle w:val="a6"/>
                  <w:rPr>
                    <w:rFonts w:ascii="宋体" w:eastAsia="宋体" w:hAnsi="宋体" w:cs="宋体"/>
                    <w:sz w:val="28"/>
                    <w:szCs w:val="28"/>
                  </w:rPr>
                </w:pPr>
                <w:r>
                  <w:rPr>
                    <w:rFonts w:ascii="宋体" w:eastAsia="宋体" w:hAnsi="宋体" w:cs="宋体" w:hint="eastAsia"/>
                    <w:sz w:val="28"/>
                    <w:szCs w:val="28"/>
                  </w:rPr>
                  <w:t xml:space="preserve">　—</w:t>
                </w:r>
                <w:r w:rsidR="00795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C74">
                  <w:rPr>
                    <w:rFonts w:ascii="宋体" w:eastAsia="宋体" w:hAnsi="宋体" w:cs="宋体" w:hint="eastAsia"/>
                    <w:sz w:val="28"/>
                    <w:szCs w:val="28"/>
                  </w:rPr>
                  <w:fldChar w:fldCharType="separate"/>
                </w:r>
                <w:r w:rsidR="00450229">
                  <w:rPr>
                    <w:rFonts w:ascii="宋体" w:eastAsia="宋体" w:hAnsi="宋体" w:cs="宋体"/>
                    <w:noProof/>
                    <w:sz w:val="28"/>
                    <w:szCs w:val="28"/>
                  </w:rPr>
                  <w:t>8</w:t>
                </w:r>
                <w:r w:rsidR="00795C7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74" w:rsidRDefault="00795C74">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95C74" w:rsidRDefault="007121C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95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5C74">
                  <w:rPr>
                    <w:rFonts w:ascii="宋体" w:eastAsia="宋体" w:hAnsi="宋体" w:cs="宋体" w:hint="eastAsia"/>
                    <w:sz w:val="28"/>
                    <w:szCs w:val="28"/>
                  </w:rPr>
                  <w:fldChar w:fldCharType="separate"/>
                </w:r>
                <w:r w:rsidR="00450229">
                  <w:rPr>
                    <w:rFonts w:ascii="宋体" w:eastAsia="宋体" w:hAnsi="宋体" w:cs="宋体"/>
                    <w:noProof/>
                    <w:sz w:val="28"/>
                    <w:szCs w:val="28"/>
                  </w:rPr>
                  <w:t>1</w:t>
                </w:r>
                <w:r w:rsidR="00795C7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CA" w:rsidRDefault="007121CA" w:rsidP="00795C74">
      <w:r>
        <w:separator/>
      </w:r>
    </w:p>
  </w:footnote>
  <w:footnote w:type="continuationSeparator" w:id="0">
    <w:p w:rsidR="007121CA" w:rsidRDefault="007121CA" w:rsidP="00795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74" w:rsidRDefault="00795C7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74" w:rsidRDefault="00795C7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52A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0229"/>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21CA"/>
    <w:rsid w:val="00795C74"/>
    <w:rsid w:val="0079691A"/>
    <w:rsid w:val="00831E9A"/>
    <w:rsid w:val="008A5502"/>
    <w:rsid w:val="008D5D88"/>
    <w:rsid w:val="008F69CD"/>
    <w:rsid w:val="00900D1F"/>
    <w:rsid w:val="00901DBA"/>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D43CD6"/>
    <w:rsid w:val="08210A6D"/>
    <w:rsid w:val="0B957AC8"/>
    <w:rsid w:val="0C4E6F56"/>
    <w:rsid w:val="0D2F2A95"/>
    <w:rsid w:val="19F86B68"/>
    <w:rsid w:val="1F0C128C"/>
    <w:rsid w:val="2BB57DA3"/>
    <w:rsid w:val="2F7753E6"/>
    <w:rsid w:val="3258761C"/>
    <w:rsid w:val="3E460D72"/>
    <w:rsid w:val="3EA0731A"/>
    <w:rsid w:val="44BC0EEC"/>
    <w:rsid w:val="482A39F4"/>
    <w:rsid w:val="48916FAB"/>
    <w:rsid w:val="4AAF7E9B"/>
    <w:rsid w:val="4BF37C28"/>
    <w:rsid w:val="55D04CB5"/>
    <w:rsid w:val="56755F92"/>
    <w:rsid w:val="653A70E2"/>
    <w:rsid w:val="699E5445"/>
    <w:rsid w:val="6C1E17DE"/>
    <w:rsid w:val="72406E3D"/>
    <w:rsid w:val="771C0FF0"/>
    <w:rsid w:val="7B15007C"/>
    <w:rsid w:val="7E43046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C74"/>
    <w:pPr>
      <w:widowControl w:val="0"/>
      <w:jc w:val="both"/>
    </w:pPr>
    <w:rPr>
      <w:rFonts w:ascii="Times New Roman" w:eastAsia="仿宋_GB2312" w:hAnsi="Times New Roman"/>
      <w:kern w:val="2"/>
      <w:sz w:val="32"/>
      <w:szCs w:val="24"/>
    </w:rPr>
  </w:style>
  <w:style w:type="paragraph" w:styleId="1">
    <w:name w:val="heading 1"/>
    <w:basedOn w:val="a"/>
    <w:next w:val="a"/>
    <w:link w:val="1Char"/>
    <w:qFormat/>
    <w:rsid w:val="00795C74"/>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
    <w:uiPriority w:val="9"/>
    <w:qFormat/>
    <w:rsid w:val="00795C74"/>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795C74"/>
    <w:pPr>
      <w:keepNext/>
      <w:keepLines/>
      <w:spacing w:before="260" w:after="260" w:line="416" w:lineRule="auto"/>
      <w:outlineLvl w:val="2"/>
    </w:pPr>
    <w:rPr>
      <w:rFonts w:ascii="Calibri" w:hAnsi="Calibri"/>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95C74"/>
    <w:pPr>
      <w:shd w:val="clear" w:color="auto" w:fill="000080"/>
    </w:pPr>
  </w:style>
  <w:style w:type="paragraph" w:styleId="a4">
    <w:name w:val="Plain Text"/>
    <w:basedOn w:val="a"/>
    <w:link w:val="Char"/>
    <w:uiPriority w:val="99"/>
    <w:unhideWhenUsed/>
    <w:qFormat/>
    <w:rsid w:val="00795C74"/>
    <w:rPr>
      <w:rFonts w:ascii="宋体" w:eastAsia="宋体" w:hAnsi="Courier New"/>
      <w:sz w:val="21"/>
      <w:szCs w:val="21"/>
      <w:lang/>
    </w:rPr>
  </w:style>
  <w:style w:type="paragraph" w:styleId="a5">
    <w:name w:val="Balloon Text"/>
    <w:basedOn w:val="a"/>
    <w:semiHidden/>
    <w:qFormat/>
    <w:rsid w:val="00795C74"/>
    <w:rPr>
      <w:sz w:val="18"/>
      <w:szCs w:val="18"/>
    </w:rPr>
  </w:style>
  <w:style w:type="paragraph" w:styleId="a6">
    <w:name w:val="footer"/>
    <w:basedOn w:val="a"/>
    <w:link w:val="Char0"/>
    <w:uiPriority w:val="99"/>
    <w:qFormat/>
    <w:rsid w:val="00795C74"/>
    <w:pPr>
      <w:tabs>
        <w:tab w:val="center" w:pos="4153"/>
        <w:tab w:val="right" w:pos="8306"/>
      </w:tabs>
      <w:snapToGrid w:val="0"/>
      <w:jc w:val="left"/>
    </w:pPr>
    <w:rPr>
      <w:rFonts w:ascii="Calibri" w:hAnsi="Calibri"/>
      <w:sz w:val="18"/>
      <w:szCs w:val="18"/>
      <w:lang/>
    </w:rPr>
  </w:style>
  <w:style w:type="paragraph" w:styleId="a7">
    <w:name w:val="header"/>
    <w:basedOn w:val="a"/>
    <w:link w:val="Char1"/>
    <w:uiPriority w:val="99"/>
    <w:qFormat/>
    <w:rsid w:val="00795C74"/>
    <w:pPr>
      <w:pBdr>
        <w:bottom w:val="single" w:sz="6" w:space="1" w:color="auto"/>
      </w:pBdr>
      <w:tabs>
        <w:tab w:val="center" w:pos="4153"/>
        <w:tab w:val="right" w:pos="8306"/>
      </w:tabs>
      <w:snapToGrid w:val="0"/>
      <w:jc w:val="center"/>
    </w:pPr>
    <w:rPr>
      <w:rFonts w:ascii="Calibri" w:hAnsi="Calibri"/>
      <w:sz w:val="18"/>
      <w:szCs w:val="18"/>
      <w:lang/>
    </w:rPr>
  </w:style>
  <w:style w:type="paragraph" w:styleId="10">
    <w:name w:val="toc 1"/>
    <w:basedOn w:val="a"/>
    <w:next w:val="a"/>
    <w:uiPriority w:val="39"/>
    <w:qFormat/>
    <w:rsid w:val="00795C74"/>
  </w:style>
  <w:style w:type="paragraph" w:styleId="a8">
    <w:name w:val="Subtitle"/>
    <w:basedOn w:val="a"/>
    <w:next w:val="a"/>
    <w:link w:val="Char2"/>
    <w:qFormat/>
    <w:rsid w:val="00795C74"/>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795C74"/>
    <w:pPr>
      <w:ind w:leftChars="200" w:left="420"/>
    </w:pPr>
  </w:style>
  <w:style w:type="paragraph" w:styleId="a9">
    <w:name w:val="Title"/>
    <w:basedOn w:val="a"/>
    <w:next w:val="a"/>
    <w:link w:val="Char3"/>
    <w:qFormat/>
    <w:rsid w:val="00795C74"/>
    <w:pPr>
      <w:spacing w:before="240" w:after="60"/>
      <w:jc w:val="center"/>
      <w:outlineLvl w:val="0"/>
    </w:pPr>
    <w:rPr>
      <w:rFonts w:ascii="Cambria" w:eastAsia="宋体" w:hAnsi="Cambria"/>
      <w:b/>
      <w:bCs/>
      <w:szCs w:val="32"/>
      <w:lang/>
    </w:rPr>
  </w:style>
  <w:style w:type="character" w:styleId="aa">
    <w:name w:val="Strong"/>
    <w:qFormat/>
    <w:rsid w:val="00795C74"/>
    <w:rPr>
      <w:b/>
      <w:bCs/>
    </w:rPr>
  </w:style>
  <w:style w:type="character" w:styleId="ab">
    <w:name w:val="page number"/>
    <w:basedOn w:val="a0"/>
    <w:qFormat/>
    <w:rsid w:val="00795C74"/>
  </w:style>
  <w:style w:type="character" w:styleId="ac">
    <w:name w:val="FollowedHyperlink"/>
    <w:qFormat/>
    <w:rsid w:val="00795C74"/>
    <w:rPr>
      <w:color w:val="800080"/>
      <w:u w:val="single"/>
    </w:rPr>
  </w:style>
  <w:style w:type="character" w:styleId="ad">
    <w:name w:val="Emphasis"/>
    <w:qFormat/>
    <w:rsid w:val="00795C74"/>
    <w:rPr>
      <w:i/>
      <w:iCs/>
    </w:rPr>
  </w:style>
  <w:style w:type="character" w:styleId="ae">
    <w:name w:val="Hyperlink"/>
    <w:uiPriority w:val="99"/>
    <w:qFormat/>
    <w:rsid w:val="00795C74"/>
    <w:rPr>
      <w:rFonts w:ascii="ˎ̥" w:hAnsi="ˎ̥" w:hint="default"/>
      <w:color w:val="0404B3"/>
      <w:sz w:val="18"/>
      <w:szCs w:val="18"/>
      <w:u w:val="none"/>
    </w:rPr>
  </w:style>
  <w:style w:type="paragraph" w:customStyle="1" w:styleId="Style20">
    <w:name w:val="_Style 20"/>
    <w:basedOn w:val="1"/>
    <w:next w:val="a"/>
    <w:uiPriority w:val="39"/>
    <w:qFormat/>
    <w:rsid w:val="00795C7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95C74"/>
    <w:pPr>
      <w:numPr>
        <w:ilvl w:val="1"/>
        <w:numId w:val="1"/>
      </w:numPr>
      <w:ind w:firstLine="0"/>
      <w:jc w:val="left"/>
    </w:pPr>
    <w:rPr>
      <w:rFonts w:eastAsia="宋体"/>
      <w:sz w:val="30"/>
    </w:rPr>
  </w:style>
  <w:style w:type="character" w:customStyle="1" w:styleId="Char1">
    <w:name w:val="页眉 Char"/>
    <w:link w:val="a7"/>
    <w:uiPriority w:val="99"/>
    <w:qFormat/>
    <w:rsid w:val="00795C74"/>
    <w:rPr>
      <w:rFonts w:eastAsia="仿宋_GB2312"/>
      <w:kern w:val="2"/>
      <w:sz w:val="18"/>
      <w:szCs w:val="18"/>
    </w:rPr>
  </w:style>
  <w:style w:type="character" w:customStyle="1" w:styleId="Char">
    <w:name w:val="纯文本 Char"/>
    <w:link w:val="a4"/>
    <w:uiPriority w:val="99"/>
    <w:qFormat/>
    <w:rsid w:val="00795C74"/>
    <w:rPr>
      <w:rFonts w:ascii="宋体" w:hAnsi="Courier New" w:cs="Courier New"/>
      <w:kern w:val="2"/>
      <w:sz w:val="21"/>
      <w:szCs w:val="21"/>
    </w:rPr>
  </w:style>
  <w:style w:type="character" w:customStyle="1" w:styleId="Char10">
    <w:name w:val="纯文本 Char1"/>
    <w:qFormat/>
    <w:rsid w:val="00795C74"/>
    <w:rPr>
      <w:rFonts w:ascii="宋体" w:hAnsi="Courier New" w:cs="Courier New"/>
      <w:kern w:val="2"/>
      <w:sz w:val="21"/>
      <w:szCs w:val="21"/>
    </w:rPr>
  </w:style>
  <w:style w:type="character" w:customStyle="1" w:styleId="Char2">
    <w:name w:val="副标题 Char"/>
    <w:link w:val="a8"/>
    <w:qFormat/>
    <w:rsid w:val="00795C74"/>
    <w:rPr>
      <w:rFonts w:ascii="Cambria" w:hAnsi="Cambria" w:cs="Times New Roman"/>
      <w:b/>
      <w:bCs/>
      <w:kern w:val="28"/>
      <w:sz w:val="32"/>
      <w:szCs w:val="32"/>
    </w:rPr>
  </w:style>
  <w:style w:type="character" w:customStyle="1" w:styleId="1Char">
    <w:name w:val="标题 1 Char"/>
    <w:link w:val="1"/>
    <w:qFormat/>
    <w:rsid w:val="00795C74"/>
    <w:rPr>
      <w:rFonts w:eastAsia="仿宋_GB2312"/>
      <w:b/>
      <w:bCs/>
      <w:kern w:val="44"/>
      <w:sz w:val="44"/>
      <w:szCs w:val="44"/>
    </w:rPr>
  </w:style>
  <w:style w:type="character" w:customStyle="1" w:styleId="Char3">
    <w:name w:val="标题 Char"/>
    <w:link w:val="a9"/>
    <w:qFormat/>
    <w:rsid w:val="00795C74"/>
    <w:rPr>
      <w:rFonts w:ascii="Cambria" w:hAnsi="Cambria" w:cs="Times New Roman"/>
      <w:b/>
      <w:bCs/>
      <w:kern w:val="2"/>
      <w:sz w:val="32"/>
      <w:szCs w:val="32"/>
    </w:rPr>
  </w:style>
  <w:style w:type="character" w:customStyle="1" w:styleId="11Char">
    <w:name w:val="1.1 Char"/>
    <w:link w:val="11"/>
    <w:qFormat/>
    <w:rsid w:val="00795C74"/>
    <w:rPr>
      <w:rFonts w:ascii="Calibri" w:hAnsi="Calibri"/>
      <w:b/>
      <w:bCs/>
      <w:kern w:val="2"/>
      <w:sz w:val="30"/>
      <w:szCs w:val="32"/>
    </w:rPr>
  </w:style>
  <w:style w:type="character" w:customStyle="1" w:styleId="3Char">
    <w:name w:val="标题 3 Char"/>
    <w:link w:val="3"/>
    <w:semiHidden/>
    <w:qFormat/>
    <w:rsid w:val="00795C74"/>
    <w:rPr>
      <w:rFonts w:eastAsia="仿宋_GB2312"/>
      <w:b/>
      <w:bCs/>
      <w:kern w:val="2"/>
      <w:sz w:val="32"/>
      <w:szCs w:val="32"/>
    </w:rPr>
  </w:style>
  <w:style w:type="character" w:customStyle="1" w:styleId="2Char">
    <w:name w:val="标题 2 Char"/>
    <w:link w:val="2"/>
    <w:uiPriority w:val="9"/>
    <w:qFormat/>
    <w:rsid w:val="00795C74"/>
    <w:rPr>
      <w:rFonts w:ascii="Cambria" w:hAnsi="Cambria"/>
      <w:b/>
      <w:bCs/>
      <w:kern w:val="2"/>
      <w:sz w:val="32"/>
      <w:szCs w:val="32"/>
    </w:rPr>
  </w:style>
  <w:style w:type="character" w:customStyle="1" w:styleId="Char0">
    <w:name w:val="页脚 Char"/>
    <w:link w:val="a6"/>
    <w:uiPriority w:val="99"/>
    <w:qFormat/>
    <w:rsid w:val="00795C74"/>
    <w:rPr>
      <w:rFonts w:eastAsia="仿宋_GB2312"/>
      <w:kern w:val="2"/>
      <w:sz w:val="18"/>
      <w:szCs w:val="18"/>
    </w:rPr>
  </w:style>
  <w:style w:type="paragraph" w:styleId="af">
    <w:name w:val="List Paragraph"/>
    <w:basedOn w:val="a"/>
    <w:uiPriority w:val="99"/>
    <w:unhideWhenUsed/>
    <w:qFormat/>
    <w:rsid w:val="00795C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36948-3C1E-41C9-B949-776F6C76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2338</Words>
  <Characters>13332</Characters>
  <Application>Microsoft Office Word</Application>
  <DocSecurity>0</DocSecurity>
  <Lines>111</Lines>
  <Paragraphs>31</Paragraphs>
  <ScaleCrop>false</ScaleCrop>
  <Company>Lenovo</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