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0D2E22" w:rsidP="000D2E22">
      <w:pPr>
        <w:spacing w:line="500" w:lineRule="exact"/>
        <w:jc w:val="center"/>
        <w:rPr>
          <w:rFonts w:ascii="微软雅黑" w:eastAsia="微软雅黑" w:hAnsi="微软雅黑" w:cs="宋体"/>
          <w:b/>
          <w:bCs/>
          <w:color w:val="FF0000"/>
          <w:sz w:val="40"/>
          <w:szCs w:val="40"/>
        </w:rPr>
      </w:pPr>
      <w:r w:rsidRPr="000D2E22">
        <w:rPr>
          <w:rFonts w:ascii="微软雅黑" w:eastAsia="微软雅黑" w:hAnsi="微软雅黑" w:cs="宋体" w:hint="eastAsia"/>
          <w:b/>
          <w:color w:val="FF0000"/>
          <w:sz w:val="40"/>
          <w:szCs w:val="40"/>
        </w:rPr>
        <w:t>《</w:t>
      </w:r>
      <w:r w:rsidR="007304AF" w:rsidRPr="000D2E22">
        <w:rPr>
          <w:rFonts w:ascii="微软雅黑" w:eastAsia="微软雅黑" w:hAnsi="微软雅黑" w:cs="宋体" w:hint="eastAsia"/>
          <w:b/>
          <w:color w:val="FF0000"/>
          <w:sz w:val="40"/>
          <w:szCs w:val="40"/>
        </w:rPr>
        <w:t>中华人民共和国水法</w:t>
      </w:r>
      <w:r w:rsidRPr="000D2E22">
        <w:rPr>
          <w:rFonts w:ascii="微软雅黑" w:eastAsia="微软雅黑" w:hAnsi="微软雅黑" w:cs="宋体" w:hint="eastAsia"/>
          <w:b/>
          <w:color w:val="FF0000"/>
          <w:sz w:val="40"/>
          <w:szCs w:val="40"/>
        </w:rPr>
        <w:t>》</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ind w:leftChars="200" w:left="640" w:rightChars="200" w:right="640"/>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w:t>
      </w:r>
      <w:r w:rsidRPr="000D2E22">
        <w:rPr>
          <w:rFonts w:ascii="微软雅黑" w:eastAsia="微软雅黑" w:hAnsi="微软雅黑" w:cs="楷体_GB2312" w:hint="eastAsia"/>
          <w:sz w:val="22"/>
          <w:szCs w:val="22"/>
        </w:rPr>
        <w:t>1988</w:t>
      </w:r>
      <w:r w:rsidRPr="000D2E22">
        <w:rPr>
          <w:rFonts w:ascii="微软雅黑" w:eastAsia="微软雅黑" w:hAnsi="微软雅黑" w:cs="楷体_GB2312" w:hint="eastAsia"/>
          <w:sz w:val="22"/>
          <w:szCs w:val="22"/>
        </w:rPr>
        <w:t>年</w:t>
      </w:r>
      <w:r w:rsidRPr="000D2E22">
        <w:rPr>
          <w:rFonts w:ascii="微软雅黑" w:eastAsia="微软雅黑" w:hAnsi="微软雅黑" w:cs="楷体_GB2312" w:hint="eastAsia"/>
          <w:sz w:val="22"/>
          <w:szCs w:val="22"/>
        </w:rPr>
        <w:t>1</w:t>
      </w:r>
      <w:r w:rsidRPr="000D2E22">
        <w:rPr>
          <w:rFonts w:ascii="微软雅黑" w:eastAsia="微软雅黑" w:hAnsi="微软雅黑" w:cs="楷体_GB2312" w:hint="eastAsia"/>
          <w:sz w:val="22"/>
          <w:szCs w:val="22"/>
        </w:rPr>
        <w:t>月</w:t>
      </w:r>
      <w:r w:rsidRPr="000D2E22">
        <w:rPr>
          <w:rFonts w:ascii="微软雅黑" w:eastAsia="微软雅黑" w:hAnsi="微软雅黑" w:cs="楷体_GB2312" w:hint="eastAsia"/>
          <w:sz w:val="22"/>
          <w:szCs w:val="22"/>
        </w:rPr>
        <w:t>21</w:t>
      </w:r>
      <w:r w:rsidRPr="000D2E22">
        <w:rPr>
          <w:rFonts w:ascii="微软雅黑" w:eastAsia="微软雅黑" w:hAnsi="微软雅黑" w:cs="楷体_GB2312" w:hint="eastAsia"/>
          <w:sz w:val="22"/>
          <w:szCs w:val="22"/>
        </w:rPr>
        <w:t xml:space="preserve">日第六届全国人民代表大会常务委员会第二十四次会议通过　</w:t>
      </w:r>
      <w:r w:rsidRPr="000D2E22">
        <w:rPr>
          <w:rFonts w:ascii="微软雅黑" w:eastAsia="微软雅黑" w:hAnsi="微软雅黑" w:cs="楷体_GB2312" w:hint="eastAsia"/>
          <w:sz w:val="22"/>
          <w:szCs w:val="22"/>
        </w:rPr>
        <w:t>2002</w:t>
      </w:r>
      <w:r w:rsidRPr="000D2E22">
        <w:rPr>
          <w:rFonts w:ascii="微软雅黑" w:eastAsia="微软雅黑" w:hAnsi="微软雅黑" w:cs="楷体_GB2312" w:hint="eastAsia"/>
          <w:sz w:val="22"/>
          <w:szCs w:val="22"/>
        </w:rPr>
        <w:t>年</w:t>
      </w:r>
      <w:r w:rsidRPr="000D2E22">
        <w:rPr>
          <w:rFonts w:ascii="微软雅黑" w:eastAsia="微软雅黑" w:hAnsi="微软雅黑" w:cs="楷体_GB2312" w:hint="eastAsia"/>
          <w:sz w:val="22"/>
          <w:szCs w:val="22"/>
        </w:rPr>
        <w:t>8</w:t>
      </w:r>
      <w:r w:rsidRPr="000D2E22">
        <w:rPr>
          <w:rFonts w:ascii="微软雅黑" w:eastAsia="微软雅黑" w:hAnsi="微软雅黑" w:cs="楷体_GB2312" w:hint="eastAsia"/>
          <w:sz w:val="22"/>
          <w:szCs w:val="22"/>
        </w:rPr>
        <w:t>月</w:t>
      </w:r>
      <w:r w:rsidRPr="000D2E22">
        <w:rPr>
          <w:rFonts w:ascii="微软雅黑" w:eastAsia="微软雅黑" w:hAnsi="微软雅黑" w:cs="楷体_GB2312" w:hint="eastAsia"/>
          <w:sz w:val="22"/>
          <w:szCs w:val="22"/>
        </w:rPr>
        <w:t>29</w:t>
      </w:r>
      <w:r w:rsidRPr="000D2E22">
        <w:rPr>
          <w:rFonts w:ascii="微软雅黑" w:eastAsia="微软雅黑" w:hAnsi="微软雅黑" w:cs="楷体_GB2312" w:hint="eastAsia"/>
          <w:sz w:val="22"/>
          <w:szCs w:val="22"/>
        </w:rPr>
        <w:t>日第九届全国人民代表大会常务委员会第二十九次会议修订　根据</w:t>
      </w:r>
      <w:r w:rsidRPr="000D2E22">
        <w:rPr>
          <w:rFonts w:ascii="微软雅黑" w:eastAsia="微软雅黑" w:hAnsi="微软雅黑" w:cs="楷体_GB2312" w:hint="eastAsia"/>
          <w:sz w:val="22"/>
          <w:szCs w:val="22"/>
        </w:rPr>
        <w:t>2009</w:t>
      </w:r>
      <w:r w:rsidRPr="000D2E22">
        <w:rPr>
          <w:rFonts w:ascii="微软雅黑" w:eastAsia="微软雅黑" w:hAnsi="微软雅黑" w:cs="楷体_GB2312" w:hint="eastAsia"/>
          <w:sz w:val="22"/>
          <w:szCs w:val="22"/>
        </w:rPr>
        <w:t>年</w:t>
      </w:r>
      <w:r w:rsidRPr="000D2E22">
        <w:rPr>
          <w:rFonts w:ascii="微软雅黑" w:eastAsia="微软雅黑" w:hAnsi="微软雅黑" w:cs="楷体_GB2312" w:hint="eastAsia"/>
          <w:sz w:val="22"/>
          <w:szCs w:val="22"/>
        </w:rPr>
        <w:t>8</w:t>
      </w:r>
      <w:r w:rsidRPr="000D2E22">
        <w:rPr>
          <w:rFonts w:ascii="微软雅黑" w:eastAsia="微软雅黑" w:hAnsi="微软雅黑" w:cs="楷体_GB2312" w:hint="eastAsia"/>
          <w:sz w:val="22"/>
          <w:szCs w:val="22"/>
        </w:rPr>
        <w:t>月</w:t>
      </w:r>
      <w:r w:rsidRPr="000D2E22">
        <w:rPr>
          <w:rFonts w:ascii="微软雅黑" w:eastAsia="微软雅黑" w:hAnsi="微软雅黑" w:cs="楷体_GB2312" w:hint="eastAsia"/>
          <w:sz w:val="22"/>
          <w:szCs w:val="22"/>
        </w:rPr>
        <w:t>27</w:t>
      </w:r>
      <w:r w:rsidRPr="000D2E22">
        <w:rPr>
          <w:rFonts w:ascii="微软雅黑" w:eastAsia="微软雅黑" w:hAnsi="微软雅黑" w:cs="楷体_GB2312" w:hint="eastAsia"/>
          <w:sz w:val="22"/>
          <w:szCs w:val="22"/>
        </w:rPr>
        <w:t>日第十一届全国人民代表大会常务委员会第十次会议《关于修改部分法律的决定》第一次修正</w:t>
      </w:r>
      <w:bookmarkStart w:id="0" w:name="_GoBack"/>
      <w:bookmarkEnd w:id="0"/>
      <w:r w:rsidRPr="000D2E22">
        <w:rPr>
          <w:rFonts w:ascii="微软雅黑" w:eastAsia="微软雅黑" w:hAnsi="微软雅黑" w:cs="楷体_GB2312" w:hint="eastAsia"/>
          <w:sz w:val="22"/>
          <w:szCs w:val="22"/>
        </w:rPr>
        <w:t xml:space="preserve">　根据</w:t>
      </w:r>
      <w:r w:rsidRPr="000D2E22">
        <w:rPr>
          <w:rFonts w:ascii="微软雅黑" w:eastAsia="微软雅黑" w:hAnsi="微软雅黑" w:cs="楷体_GB2312" w:hint="eastAsia"/>
          <w:sz w:val="22"/>
          <w:szCs w:val="22"/>
        </w:rPr>
        <w:t>2016</w:t>
      </w:r>
      <w:r w:rsidRPr="000D2E22">
        <w:rPr>
          <w:rFonts w:ascii="微软雅黑" w:eastAsia="微软雅黑" w:hAnsi="微软雅黑" w:cs="楷体_GB2312" w:hint="eastAsia"/>
          <w:sz w:val="22"/>
          <w:szCs w:val="22"/>
        </w:rPr>
        <w:t>年</w:t>
      </w:r>
      <w:r w:rsidRPr="000D2E22">
        <w:rPr>
          <w:rFonts w:ascii="微软雅黑" w:eastAsia="微软雅黑" w:hAnsi="微软雅黑" w:cs="楷体_GB2312" w:hint="eastAsia"/>
          <w:sz w:val="22"/>
          <w:szCs w:val="22"/>
        </w:rPr>
        <w:t>7</w:t>
      </w:r>
      <w:r w:rsidRPr="000D2E22">
        <w:rPr>
          <w:rFonts w:ascii="微软雅黑" w:eastAsia="微软雅黑" w:hAnsi="微软雅黑" w:cs="楷体_GB2312" w:hint="eastAsia"/>
          <w:sz w:val="22"/>
          <w:szCs w:val="22"/>
        </w:rPr>
        <w:t>月</w:t>
      </w:r>
      <w:r w:rsidRPr="000D2E22">
        <w:rPr>
          <w:rFonts w:ascii="微软雅黑" w:eastAsia="微软雅黑" w:hAnsi="微软雅黑" w:cs="楷体_GB2312" w:hint="eastAsia"/>
          <w:sz w:val="22"/>
          <w:szCs w:val="22"/>
        </w:rPr>
        <w:t>2</w:t>
      </w:r>
      <w:r w:rsidRPr="000D2E22">
        <w:rPr>
          <w:rFonts w:ascii="微软雅黑" w:eastAsia="微软雅黑" w:hAnsi="微软雅黑" w:cs="楷体_GB2312" w:hint="eastAsia"/>
          <w:sz w:val="22"/>
          <w:szCs w:val="22"/>
        </w:rPr>
        <w:t>日第十二届全国人民代表大会常务委员会第二十一次会议《关于修改</w:t>
      </w:r>
      <w:r w:rsidRPr="000D2E22">
        <w:rPr>
          <w:rFonts w:ascii="微软雅黑" w:eastAsia="微软雅黑" w:hAnsi="微软雅黑" w:cs="楷体_GB2312" w:hint="eastAsia"/>
          <w:sz w:val="22"/>
          <w:szCs w:val="22"/>
        </w:rPr>
        <w:t>&lt;</w:t>
      </w:r>
      <w:r w:rsidRPr="000D2E22">
        <w:rPr>
          <w:rFonts w:ascii="微软雅黑" w:eastAsia="微软雅黑" w:hAnsi="微软雅黑" w:cs="楷体_GB2312" w:hint="eastAsia"/>
          <w:sz w:val="22"/>
          <w:szCs w:val="22"/>
        </w:rPr>
        <w:t>中华人民共和国节约能源法</w:t>
      </w:r>
      <w:r w:rsidRPr="000D2E22">
        <w:rPr>
          <w:rFonts w:ascii="微软雅黑" w:eastAsia="微软雅黑" w:hAnsi="微软雅黑" w:cs="楷体_GB2312" w:hint="eastAsia"/>
          <w:sz w:val="22"/>
          <w:szCs w:val="22"/>
        </w:rPr>
        <w:t>&gt;</w:t>
      </w:r>
      <w:r w:rsidRPr="000D2E22">
        <w:rPr>
          <w:rFonts w:ascii="微软雅黑" w:eastAsia="微软雅黑" w:hAnsi="微软雅黑" w:cs="楷体_GB2312" w:hint="eastAsia"/>
          <w:sz w:val="22"/>
          <w:szCs w:val="22"/>
        </w:rPr>
        <w:t>等六部法律的决定》第二次修正）</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楷体_GB2312"/>
          <w:b/>
          <w:bCs/>
          <w:sz w:val="22"/>
          <w:szCs w:val="22"/>
        </w:rPr>
      </w:pPr>
      <w:r w:rsidRPr="000D2E22">
        <w:rPr>
          <w:rFonts w:ascii="微软雅黑" w:eastAsia="微软雅黑" w:hAnsi="微软雅黑" w:cs="楷体_GB2312" w:hint="eastAsia"/>
          <w:sz w:val="22"/>
          <w:szCs w:val="22"/>
        </w:rPr>
        <w:t>目　　录</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第一章　总则</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第二章　水资源规划</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第三章　水资源开发利用</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第四章　水资源、水域和水工程的保护</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第五章　水资源配置和节约使用</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第六章　水事纠纷处理与执法监督检查</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第七章　法律责任</w:t>
      </w:r>
    </w:p>
    <w:p w:rsidR="00D530B4" w:rsidRPr="000D2E22" w:rsidRDefault="007304AF" w:rsidP="000D2E22">
      <w:pPr>
        <w:spacing w:line="240" w:lineRule="exact"/>
        <w:rPr>
          <w:rFonts w:ascii="微软雅黑" w:eastAsia="微软雅黑" w:hAnsi="微软雅黑" w:cs="宋体"/>
          <w:sz w:val="22"/>
          <w:szCs w:val="22"/>
        </w:rPr>
      </w:pPr>
      <w:r w:rsidRPr="000D2E22">
        <w:rPr>
          <w:rFonts w:ascii="微软雅黑" w:eastAsia="微软雅黑" w:hAnsi="微软雅黑" w:cs="楷体_GB2312" w:hint="eastAsia"/>
          <w:sz w:val="22"/>
          <w:szCs w:val="22"/>
        </w:rPr>
        <w:t xml:space="preserve">　　第八章　附则</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黑体"/>
          <w:sz w:val="22"/>
          <w:szCs w:val="22"/>
        </w:rPr>
      </w:pPr>
      <w:r w:rsidRPr="000D2E22">
        <w:rPr>
          <w:rFonts w:ascii="微软雅黑" w:eastAsia="微软雅黑" w:hAnsi="微软雅黑" w:cs="黑体" w:hint="eastAsia"/>
          <w:sz w:val="22"/>
          <w:szCs w:val="22"/>
        </w:rPr>
        <w:t>第一章　总则</w:t>
      </w:r>
    </w:p>
    <w:p w:rsidR="00D530B4" w:rsidRPr="000D2E22" w:rsidRDefault="00D530B4" w:rsidP="000D2E22">
      <w:pPr>
        <w:spacing w:line="240" w:lineRule="exact"/>
        <w:rPr>
          <w:rFonts w:ascii="微软雅黑" w:eastAsia="微软雅黑" w:hAnsi="微软雅黑" w:cs="黑体"/>
          <w:sz w:val="22"/>
          <w:szCs w:val="22"/>
        </w:rPr>
      </w:pP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宋体" w:hint="eastAsia"/>
          <w:sz w:val="22"/>
          <w:szCs w:val="22"/>
        </w:rPr>
        <w:t xml:space="preserve">　　</w:t>
      </w:r>
      <w:r w:rsidRPr="000D2E22">
        <w:rPr>
          <w:rFonts w:ascii="微软雅黑" w:eastAsia="微软雅黑" w:hAnsi="微软雅黑" w:cs="黑体" w:hint="eastAsia"/>
          <w:sz w:val="22"/>
          <w:szCs w:val="22"/>
        </w:rPr>
        <w:t>第一条</w:t>
      </w:r>
      <w:r w:rsidRPr="000D2E22">
        <w:rPr>
          <w:rFonts w:ascii="微软雅黑" w:eastAsia="微软雅黑" w:hAnsi="微软雅黑" w:cs="宋体" w:hint="eastAsia"/>
          <w:sz w:val="22"/>
          <w:szCs w:val="22"/>
        </w:rPr>
        <w:t xml:space="preserve">　</w:t>
      </w:r>
      <w:r w:rsidRPr="000D2E22">
        <w:rPr>
          <w:rFonts w:ascii="微软雅黑" w:eastAsia="微软雅黑" w:hAnsi="微软雅黑" w:cs="仿宋_GB2312" w:hint="eastAsia"/>
          <w:sz w:val="22"/>
          <w:szCs w:val="22"/>
        </w:rPr>
        <w:t>为了合理开发、利用、节约和保护水资源，防治水害，实现水资源的可持续利用，适应国民经济和社会发展的需要，制定本法。</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在中华人民共和国领域内开发、利用、节约、保护、管理水资源，防治水害，适用本法。</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本法所称水资源，包括地表水和地下水。</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水资源属于国家所有。水资源的所有权由国务院代表国家行使。农村集体经济组织的水塘和由农村集体经济组织修建管理的水库中的水，归各该农村集体经济组织使用。</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开发、利用、节约、保护水资源和防治水害，应当全面规划、统筹兼顾、标本兼治、综合利用、讲求效益，发挥水资源的多种功能，协调好生活、生产经营和生态环境用水。</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县级以上人民政府应当加强水利基础设施建设，并将其纳入本级国民经济和社会发展计划。</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第六</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国家鼓励单位和个人依法开发、利用水资源，并保护其合法权益。开发、利用水资源的单位和个人有</w:t>
      </w:r>
      <w:r w:rsidRPr="000D2E22">
        <w:rPr>
          <w:rFonts w:ascii="微软雅黑" w:eastAsia="微软雅黑" w:hAnsi="微软雅黑" w:cs="仿宋_GB2312" w:hint="eastAsia"/>
          <w:sz w:val="22"/>
          <w:szCs w:val="22"/>
        </w:rPr>
        <w:t>依法保护水资源的义务。</w:t>
      </w:r>
    </w:p>
    <w:p w:rsidR="00D530B4" w:rsidRPr="000D2E22" w:rsidRDefault="007304AF" w:rsidP="000D2E22">
      <w:pPr>
        <w:spacing w:line="240" w:lineRule="exact"/>
        <w:rPr>
          <w:rFonts w:ascii="微软雅黑" w:eastAsia="微软雅黑" w:hAnsi="微软雅黑" w:cs="黑体"/>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黑体" w:hint="eastAsia"/>
          <w:sz w:val="22"/>
          <w:szCs w:val="22"/>
        </w:rPr>
        <w:t xml:space="preserve">　　第八</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国家厉行节约用水，大力推行节约用水措施，推广节约用水新技术、新工艺，发展节水型工业、农业和服务业，建立节水型社会。</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各级人民政府应当采取措施，加强对节约用水的管理，建立节约用水技术开发推广体系，培育和发展节约用水产业。</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单位和个人有节约用水的义务。</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第九</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国家保护水资源，采取有效措施，保护植被，植树种草，涵养水源，防治水土流失和水体污染，改善生态环境。</w:t>
      </w:r>
    </w:p>
    <w:p w:rsidR="00D530B4" w:rsidRPr="000D2E22" w:rsidRDefault="007304AF" w:rsidP="000D2E22">
      <w:pPr>
        <w:spacing w:line="240" w:lineRule="exact"/>
        <w:rPr>
          <w:rFonts w:ascii="微软雅黑" w:eastAsia="微软雅黑" w:hAnsi="微软雅黑" w:cs="黑体"/>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第十</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国家鼓励和支持开发、利用、节约、保护、管理水资源和防治水害的先进科学技术的研究、推广和应用。</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黑体" w:hint="eastAsia"/>
          <w:sz w:val="22"/>
          <w:szCs w:val="22"/>
        </w:rPr>
        <w:t xml:space="preserve">　　第十一</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在开发、利用、节约、保护、管理水资源和防治水害等方面成绩显著的单位和个人，由人民政府给予奖励。</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第十二</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国家对水资源实行流域管理与行政区域管理相结合的管理体制。</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国务院水行政主管部门负责全国水资源的统一管理和监督工作。</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国务院水行政主管部门在国家确定的重要江河、湖泊设立的流域</w:t>
      </w:r>
      <w:r w:rsidRPr="000D2E22">
        <w:rPr>
          <w:rFonts w:ascii="微软雅黑" w:eastAsia="微软雅黑" w:hAnsi="微软雅黑" w:cs="仿宋_GB2312" w:hint="eastAsia"/>
          <w:sz w:val="22"/>
          <w:szCs w:val="22"/>
        </w:rPr>
        <w:t>管理机构（以下简称流域管理机构），在所管辖的范围内行使法律、行政法规规定的和国务院水行政主管部门授予的水资源管理和监督职责。</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县级以上地方人民政府水行政主管部门按照规定的权限，负责本行政区域内水资源的统一管理和监督工作。</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第十三</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国务院有关部门按照职责分工，负责水资源开发、利用、节约和保护的有关工作。</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县级以上地方人民政府有关部门按照职责分工，负责本行政区域内水资源开发、利用、节约和保护的有关工作。</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黑体"/>
          <w:sz w:val="22"/>
          <w:szCs w:val="22"/>
        </w:rPr>
      </w:pPr>
      <w:r w:rsidRPr="000D2E22">
        <w:rPr>
          <w:rFonts w:ascii="微软雅黑" w:eastAsia="微软雅黑" w:hAnsi="微软雅黑" w:cs="黑体" w:hint="eastAsia"/>
          <w:sz w:val="22"/>
          <w:szCs w:val="22"/>
        </w:rPr>
        <w:t>第二章　水资源规划</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第十四</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国家制定全国水资源战略规划。</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开发、利用、节约、保护水资源和防治水害，应当按照流域、区域统一制定规划。规划分为流域规划和区域规划。流域规划包括流域综合规划和流域专业规划；区域规划包括区域综合规划和区域专业规划。</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lastRenderedPageBreak/>
        <w:t xml:space="preserve">　　</w:t>
      </w:r>
      <w:r w:rsidRPr="000D2E22">
        <w:rPr>
          <w:rFonts w:ascii="微软雅黑" w:eastAsia="微软雅黑" w:hAnsi="微软雅黑" w:cs="仿宋_GB2312" w:hint="eastAsia"/>
          <w:sz w:val="22"/>
          <w:szCs w:val="22"/>
        </w:rPr>
        <w:t>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第十五</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流域范围内的区域规划应当服从流域规划，专业规划应当服从综合规划。</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流域综合规划和区域综合规划以及与土地利用关系密切的专业规划，应当与国民经济和社会发展规划以及土地利用总体规划、城市总体规划和环境保护规划相协调，兼顾各地区、各行业的需要。</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第十六</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制定规划，必须进行水资源综合科学考察和调查评价。水资源综合科学考察和调查评价，由县级以上人民政府水行政主管部门会同同级有关部门组织进行。</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县级以上人民政府应当加强水文、水资源信息系统建设。县级以上人民政府水行政主管部门和流域管理机构应当加强对水资源的动态监测。</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基本水文资料应当按照国家有关规定予以公开。</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第十</w:t>
      </w:r>
      <w:r w:rsidRPr="000D2E22">
        <w:rPr>
          <w:rFonts w:ascii="微软雅黑" w:eastAsia="微软雅黑" w:hAnsi="微软雅黑" w:cs="黑体" w:hint="eastAsia"/>
          <w:sz w:val="22"/>
          <w:szCs w:val="22"/>
        </w:rPr>
        <w:t>七</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前款规定以外的其他江河、湖泊的流域综合规划和区域综</w:t>
      </w:r>
      <w:r w:rsidRPr="000D2E22">
        <w:rPr>
          <w:rFonts w:ascii="微软雅黑" w:eastAsia="微软雅黑" w:hAnsi="微软雅黑" w:cs="仿宋_GB2312" w:hint="eastAsia"/>
          <w:sz w:val="22"/>
          <w:szCs w:val="22"/>
        </w:rPr>
        <w:t>合规划，由县级以上地方人民政府水行政主管部门会同同级有关部门和有关地方人民政府编制，报本级人民政府或者其授权的部门批准，并报上一级水行政主管部门备案。</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专业规划由县级以上人民政府有关部门编制，征求同级其他有关部门意见后，报本级人民政府批准。其中，防洪规划、水土保持规划的编制、批准，依照防洪法、水土保持法的有关规定执行。</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第十八</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规划一经批准，必须严格执行。</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经批准的规划需要修改时，必须按照规划编制程序经原批准机关批准。</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第十九</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黑体"/>
          <w:sz w:val="22"/>
          <w:szCs w:val="22"/>
        </w:rPr>
      </w:pPr>
      <w:r w:rsidRPr="000D2E22">
        <w:rPr>
          <w:rFonts w:ascii="微软雅黑" w:eastAsia="微软雅黑" w:hAnsi="微软雅黑" w:cs="黑体" w:hint="eastAsia"/>
          <w:sz w:val="22"/>
          <w:szCs w:val="22"/>
        </w:rPr>
        <w:t>第三章　水资源开发利用</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开发、利用水资</w:t>
      </w:r>
      <w:r w:rsidRPr="000D2E22">
        <w:rPr>
          <w:rFonts w:ascii="微软雅黑" w:eastAsia="微软雅黑" w:hAnsi="微软雅黑" w:cs="仿宋_GB2312" w:hint="eastAsia"/>
          <w:sz w:val="22"/>
          <w:szCs w:val="22"/>
        </w:rPr>
        <w:t>源，应当坚持兴利与除害相结合，兼顾上下游、左右岸和有关地区之间的利益，充分发挥水资源的综合效益，并服从防洪的总体安排。</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第二十一</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开发、利用水资源，应当首先满足城乡居民生活用水，并兼顾农业、工业、生态环境用水以及航运等需要。</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在干旱和半干旱地区开发、利用水资源，应当充分考虑生态环境用水需要。</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第二十二</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跨流域调水，应当进行全面规划和科学论证，统筹兼顾调出和调入流域的用水需要，防止对生态环境造成破坏。</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第二十三</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地方各级人民政府应当结合本地区水资源的实际情况，按照地表水与地下水统一调度开</w:t>
      </w:r>
      <w:r w:rsidRPr="000D2E22">
        <w:rPr>
          <w:rFonts w:ascii="微软雅黑" w:eastAsia="微软雅黑" w:hAnsi="微软雅黑" w:cs="仿宋_GB2312" w:hint="eastAsia"/>
          <w:sz w:val="22"/>
          <w:szCs w:val="22"/>
        </w:rPr>
        <w:t>发、开源与节流相结合、节流优先和污水处理再利用的原则，合理组织开发、综合利用水资源。</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第二十四</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在水资源短缺的地区，国家鼓励对雨水和微咸水的收集、开发、利用和对海水的利用、淡化。</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第二十五</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地方各级人民政府应当加强对灌溉、排涝、水土保持工作的领导，促进农业生产发展；在容易发生盐碱化和渍害的地</w:t>
      </w:r>
      <w:r w:rsidRPr="000D2E22">
        <w:rPr>
          <w:rFonts w:ascii="微软雅黑" w:eastAsia="微软雅黑" w:hAnsi="微软雅黑" w:cs="仿宋_GB2312" w:hint="eastAsia"/>
          <w:sz w:val="22"/>
          <w:szCs w:val="22"/>
        </w:rPr>
        <w:t>区，应当采取措施，控制和降低地下水的水位。</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农村集体经济组织或者其成员依法在本集体经济组织所有的集体土地或者承包土地上投资兴建水工程设施的，按照谁投资建设谁管理和谁受益的原则，对水工程设施及其蓄水进行管理和合理使用。</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农村集体经济组织修建水库应当经县级以上地方人民政府水行政主管部门批准。</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第二十六</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国家鼓励开发、利用水能资源。在水能丰富的河流，应当有计划地进行多目标梯级开发。</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建设水力发电站，应当保护生态环境，兼顾防洪、供水、灌溉、航运、竹木流放和渔业等方面的需要。</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第二十七</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国家鼓</w:t>
      </w:r>
      <w:r w:rsidRPr="000D2E22">
        <w:rPr>
          <w:rFonts w:ascii="微软雅黑" w:eastAsia="微软雅黑" w:hAnsi="微软雅黑" w:cs="仿宋_GB2312" w:hint="eastAsia"/>
          <w:sz w:val="22"/>
          <w:szCs w:val="22"/>
        </w:rPr>
        <w:t>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在不通航的河流或者人工水道上修建闸坝后可以通航的，闸坝建设单位应当同时修建过船设施或者预留过船设施位置。</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第二十八</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任何单位和个人引水、截（蓄）水、排水，不得损害公共利益和他人的合法权益。</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第二十九</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国家对水工程建设移民实行开发性移民的方针，按照前期补偿、补助与后期扶持相结合的原则，妥善安排移民的生产和生活，保护移民的合法权益。</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移民安置应当与工程建设同步进行。建设单位应当根据安置地区的环境容量和可持续发展的原则，因地制宜，编制移民安置规划，经依法批准后，由有关地方人民政府组织实施。所需移民经费列入工程建设投资计划。</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黑体"/>
          <w:sz w:val="22"/>
          <w:szCs w:val="22"/>
        </w:rPr>
      </w:pPr>
      <w:r w:rsidRPr="000D2E22">
        <w:rPr>
          <w:rFonts w:ascii="微软雅黑" w:eastAsia="微软雅黑" w:hAnsi="微软雅黑" w:cs="黑体" w:hint="eastAsia"/>
          <w:sz w:val="22"/>
          <w:szCs w:val="22"/>
        </w:rPr>
        <w:t>第四章　水资源、水域和水工程的保护</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第三十</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县级以上人民政府水行政主管部门、流域管理机构以及其他有关部门在制定水资源开发、利用规划和调度水资源时，应当注意维持江河的合理流量</w:t>
      </w:r>
      <w:r w:rsidRPr="000D2E22">
        <w:rPr>
          <w:rFonts w:ascii="微软雅黑" w:eastAsia="微软雅黑" w:hAnsi="微软雅黑" w:cs="仿宋_GB2312" w:hint="eastAsia"/>
          <w:sz w:val="22"/>
          <w:szCs w:val="22"/>
        </w:rPr>
        <w:t>和湖泊、水库以及地下水的合理水位，维护水体的自然净化能力。</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第三十一</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从事水资源开发、利用、节约、保护和防治水害等水事活动，应当遵守经批准的规划；因违反规划造成江河和湖泊水域使用功能降低、地下水超采、地面沉降、水体污染的，应当承担治理责任。</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开采矿藏或者建设地下工程，因疏干排水导致地下水水位下降、水源枯竭或者地面塌陷，采矿单位或者建设单位应当采取补救措施；对他人生活和生产造成损失的，依法给予补偿。</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第三十二</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国务院水行政主管部门会同国务院环境保护行政主管部门、有关部门和有关省、自治区、直辖市</w:t>
      </w:r>
      <w:r w:rsidRPr="000D2E22">
        <w:rPr>
          <w:rFonts w:ascii="微软雅黑" w:eastAsia="微软雅黑" w:hAnsi="微软雅黑" w:cs="仿宋_GB2312" w:hint="eastAsia"/>
          <w:sz w:val="22"/>
          <w:szCs w:val="22"/>
        </w:rPr>
        <w:t>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县级以上人民政府水行政主管部门或者流域管理机构应当按照水功能区对水质的要求和水体的自然净化能力，核定该水域的纳污能力，向环境保护行政主管部门提出该水域的限制排污总量意见。</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县级以上地方人民政府水行政主管部门和流域管理机构应当对水功能区的水质状况进行监测，发现重点污染物排放总量超过控制</w:t>
      </w:r>
      <w:r w:rsidRPr="000D2E22">
        <w:rPr>
          <w:rFonts w:ascii="微软雅黑" w:eastAsia="微软雅黑" w:hAnsi="微软雅黑" w:cs="仿宋_GB2312" w:hint="eastAsia"/>
          <w:sz w:val="22"/>
          <w:szCs w:val="22"/>
        </w:rPr>
        <w:t>指标的，或者水功能区的水质未达到水域使用功能对水质的要求的，应当及时报告有关人民政府采取治理措施，并向环境保护行政主管部门通报。</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第三十三</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国家建立饮用水水源保护区制度。省、自治区、直辖市人民政府应当划定饮用水水源保护区，并采取措施，防止水源枯竭和水体污染，保证城乡居民饮用水安全。</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第三十四</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禁止在饮用水水源保护区内设置排污口。</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在江河、湖泊新建、改建或者扩大排污口，应当经过有管辖权的水行政主管部门或者流域管理机构同意，由环境保护行政主管部门负责对该建设项目的环境影响报告书进行审批。</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w:t>
      </w:r>
      <w:r w:rsidRPr="000D2E22">
        <w:rPr>
          <w:rFonts w:ascii="微软雅黑" w:eastAsia="微软雅黑" w:hAnsi="微软雅黑" w:cs="黑体" w:hint="eastAsia"/>
          <w:sz w:val="22"/>
          <w:szCs w:val="22"/>
        </w:rPr>
        <w:t>三十五</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从事工程建设，占用农业灌溉水源、灌排工程设施，或者对原有灌溉用水、供水水源有不利影响的，建设单位应当采取相应的补救措施；造成损失的，依法给予补偿。</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第三十六</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第三十七</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禁止在江河、湖泊、水库、运河、渠道内弃置、堆放阻碍行洪的物体和种植阻碍行洪的林木及高秆作物。</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禁止在河道管理范围内建设妨碍行洪的建筑物、构筑物以及从事影响河势稳定、危害河岸堤防安全和其他妨碍河道行洪的活动。</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第三十八</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因建设前款工程设施，需要扩建、改建、拆除或者损坏原有水工程设施的，建设单</w:t>
      </w:r>
      <w:r w:rsidRPr="000D2E22">
        <w:rPr>
          <w:rFonts w:ascii="微软雅黑" w:eastAsia="微软雅黑" w:hAnsi="微软雅黑" w:cs="仿宋_GB2312" w:hint="eastAsia"/>
          <w:sz w:val="22"/>
          <w:szCs w:val="22"/>
        </w:rPr>
        <w:t>位应当负担扩建、改建的费用和损失补偿。但是，原有工程设施属于违法工程的除外。</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第三十九</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国家实行河道采砂许可制度。河道采砂许可制度实施办法，由国务院规定。</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在河道管理范围内采砂，影响河势稳定或者危及堤防安全的，有关县级以上人民政府水行政主管部门应当划定禁采区和规定禁采期，并予以公告。</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第四十</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禁止围湖造地。已经围垦的，应当按照国家规定的防洪标准有计划地退地还湖。</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禁止围垦河道。确需围垦的，应当经过科学论证，经省、自治区、直辖市人民政府水行政主管部门或者国务院水行政主管部门同意后，报本级人</w:t>
      </w:r>
      <w:r w:rsidRPr="000D2E22">
        <w:rPr>
          <w:rFonts w:ascii="微软雅黑" w:eastAsia="微软雅黑" w:hAnsi="微软雅黑" w:cs="仿宋_GB2312" w:hint="eastAsia"/>
          <w:sz w:val="22"/>
          <w:szCs w:val="22"/>
        </w:rPr>
        <w:t>民政府批准。</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第四十一</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单位和个人有保护水工程的义务，不得侵占、毁坏堤防、护岸、防汛、水文监测、水文地质监测等工程设施。</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第四十二</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县级以上地方人民政府应当采取措施，保障本行政区域内水工程，特别是水坝和堤防的安全，限期消除险情。水行政主管部门应当加强对水工程安全的监督管理。</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第四十三</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国家对水工程实施保护。国家所有的水工程应当按照国务院的规定划定工程管理和保护范围。</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国务院水行政主管部门或者流域管理机构管理的水工程，由主管部门或者流域管理机构商有关省、自治区、直辖市人民政府划定工程管理</w:t>
      </w:r>
      <w:r w:rsidRPr="000D2E22">
        <w:rPr>
          <w:rFonts w:ascii="微软雅黑" w:eastAsia="微软雅黑" w:hAnsi="微软雅黑" w:cs="仿宋_GB2312" w:hint="eastAsia"/>
          <w:sz w:val="22"/>
          <w:szCs w:val="22"/>
        </w:rPr>
        <w:t>和保护范围。</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前款规定以外的其他水工程，应当按照省、自治区、直辖市人民政府的规定，划定工程保护范围和保护职责。</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在水工程保护范围内，禁止从事影响水工程运行和危害水工程安全的爆破、打井、采石、取土等活动。</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黑体"/>
          <w:sz w:val="22"/>
          <w:szCs w:val="22"/>
        </w:rPr>
      </w:pPr>
      <w:r w:rsidRPr="000D2E22">
        <w:rPr>
          <w:rFonts w:ascii="微软雅黑" w:eastAsia="微软雅黑" w:hAnsi="微软雅黑" w:cs="黑体" w:hint="eastAsia"/>
          <w:sz w:val="22"/>
          <w:szCs w:val="22"/>
        </w:rPr>
        <w:t>第五章　水资源配置和节约使用</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lastRenderedPageBreak/>
        <w:t xml:space="preserve">　　</w:t>
      </w:r>
      <w:r w:rsidRPr="000D2E22">
        <w:rPr>
          <w:rFonts w:ascii="微软雅黑" w:eastAsia="微软雅黑" w:hAnsi="微软雅黑" w:cs="黑体" w:hint="eastAsia"/>
          <w:sz w:val="22"/>
          <w:szCs w:val="22"/>
        </w:rPr>
        <w:t>第四十四</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水中长期供求规划应当依据水的供求现状、国民经济和社会发展规划、流域规划、区域规划，按照水资源供需协调、综合平衡、保护生态、厉行节约、合</w:t>
      </w:r>
      <w:r w:rsidRPr="000D2E22">
        <w:rPr>
          <w:rFonts w:ascii="微软雅黑" w:eastAsia="微软雅黑" w:hAnsi="微软雅黑" w:cs="仿宋_GB2312" w:hint="eastAsia"/>
          <w:sz w:val="22"/>
          <w:szCs w:val="22"/>
        </w:rPr>
        <w:t>理开源的原则制定。</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第四十五</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调蓄径流和分配水量，应当依据流域规划和水中长期供求规划，以流域为单元制定水量分配方案。</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水量分配方案和旱情紧急情况下的水量调度预案经批准后，有关地方人民政府必须执行。</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在不同行政区域之间的边界河流上建设水资源开发、利用项目，应当符合该流域经批准的水量分配方案，由有关县级以上地方人民政府报共同的上一级人民政府水行政主管部门或者有关流域管理机构批准。</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第四十六</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县级以上地方人民政府水行政主管部门或者流域管理机构应当根据批准的水量分配方案和年度预测来水量，制定年度水量分配方案和调度计划，实施水量统一调度；有关地方人民政府必须服从。</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国家确定的重要江河、湖泊的年度水量分配方案，应当纳入国家的国民经济和社会发展年度计划。</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第四十七</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国家对用水实行总量控制和定额</w:t>
      </w:r>
      <w:r w:rsidRPr="000D2E22">
        <w:rPr>
          <w:rFonts w:ascii="微软雅黑" w:eastAsia="微软雅黑" w:hAnsi="微软雅黑" w:cs="仿宋_GB2312" w:hint="eastAsia"/>
          <w:sz w:val="22"/>
          <w:szCs w:val="22"/>
        </w:rPr>
        <w:t>管理相结合的制度。</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第四十八</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直接从江河、湖泊或者地下取用水资源的单位和个</w:t>
      </w:r>
      <w:r w:rsidRPr="000D2E22">
        <w:rPr>
          <w:rFonts w:ascii="微软雅黑" w:eastAsia="微软雅黑" w:hAnsi="微软雅黑" w:cs="仿宋_GB2312" w:hint="eastAsia"/>
          <w:sz w:val="22"/>
          <w:szCs w:val="22"/>
        </w:rPr>
        <w:t>人，应当按照国家取水许可制度和水资源有偿使用制度的规定，向水行政主管部门或者流域管理机构申请领取取水许可证，并缴纳水资源费，取得取水权。但是，家庭生活和零星散养、圈养畜禽饮用等少量取水的除外。</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实施取水许可制度和征收管理水资源费的具体办法，由国务院规定。</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第四十九</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用水应当计量，并按照批准的用水计划用水。</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用水实行计量收费和超定额累进加价制度。</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各级人民政府应当推行节水灌溉方式和节水技术，对农业蓄水、输水工程采取必要的防渗漏措施，提高农业用水效率。</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第五十一</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工业用水应当采</w:t>
      </w:r>
      <w:r w:rsidRPr="000D2E22">
        <w:rPr>
          <w:rFonts w:ascii="微软雅黑" w:eastAsia="微软雅黑" w:hAnsi="微软雅黑" w:cs="仿宋_GB2312" w:hint="eastAsia"/>
          <w:sz w:val="22"/>
          <w:szCs w:val="22"/>
        </w:rPr>
        <w:t>用先进技术、工艺和设备，增加循环用水次数，提高水的重复利用率。</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第五十二</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城市人民政府应当因地制宜采取有效措施，推广节水型生活用水器具，降低城市供水管网漏失率，提高生活用水效率；加强城市污水集中处理，鼓励使用再生水，提高污水再生利用率。</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第五十三</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新建、扩建、改建建设项目，应当制订节水措施方案，配套建设节水设施。节水设施应当与主体工程同时设计、同时施工、同时投产。</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供水企业和自建供水设施的单位应当加强供水设施的维护管理，减少水的漏失。</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第五十四</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各级人民政府应当积极采取措施，改善城乡居民的饮用水</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件。</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第五十五</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黑体"/>
          <w:sz w:val="22"/>
          <w:szCs w:val="22"/>
        </w:rPr>
      </w:pPr>
      <w:r w:rsidRPr="000D2E22">
        <w:rPr>
          <w:rFonts w:ascii="微软雅黑" w:eastAsia="微软雅黑" w:hAnsi="微软雅黑" w:cs="黑体" w:hint="eastAsia"/>
          <w:sz w:val="22"/>
          <w:szCs w:val="22"/>
        </w:rPr>
        <w:t>第六章　水事纠纷处理与执法监督检查</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第五十六</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第五十七</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单位之间、个人之间、单位与个人之间发生的水事纠纷，应当协商解决；当事人不愿协商或者协商不成的，可以申请县级以上地方人民政府或者其授权的部门调解，也可以直接向人民法院提起</w:t>
      </w:r>
      <w:r w:rsidRPr="000D2E22">
        <w:rPr>
          <w:rFonts w:ascii="微软雅黑" w:eastAsia="微软雅黑" w:hAnsi="微软雅黑" w:cs="仿宋_GB2312" w:hint="eastAsia"/>
          <w:sz w:val="22"/>
          <w:szCs w:val="22"/>
        </w:rPr>
        <w:t>民事诉讼。县级以上地方人民政府或者其授权的部门调解不成的，当事人可以向人民法院提起民事诉讼。</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在水事纠纷解决前，当事人不得单方面改变现状。</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第五十八</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县级以上人民政府或者其授权的部门在处理水事纠纷时，有权采取临时处置措施，有关各方或者当事人必须服从。</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第五十九</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县级以上人民政府水行政主管部门和流域管理机构应当对违反本法的行为加强监督检查并依法进行查处。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水政监督检查人员应当忠于职守，秉公执法。</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lastRenderedPageBreak/>
        <w:t xml:space="preserve">　　</w:t>
      </w:r>
      <w:r w:rsidRPr="000D2E22">
        <w:rPr>
          <w:rFonts w:ascii="微软雅黑" w:eastAsia="微软雅黑" w:hAnsi="微软雅黑" w:cs="黑体" w:hint="eastAsia"/>
          <w:sz w:val="22"/>
          <w:szCs w:val="22"/>
        </w:rPr>
        <w:t>第六十</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县级以上人民政府水行政主管部门、流域管理机构及其水政监督检查人员履行本法规定的监督检查职责时，有权采取下列措施</w:t>
      </w:r>
      <w:r w:rsidRPr="000D2E22">
        <w:rPr>
          <w:rFonts w:ascii="微软雅黑" w:eastAsia="微软雅黑" w:hAnsi="微软雅黑" w:cs="仿宋_GB2312" w:hint="eastAsia"/>
          <w:sz w:val="22"/>
          <w:szCs w:val="22"/>
        </w:rPr>
        <w:t>:</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（一）要求被检查单位提供有关文件、证照、资料；</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（二）要求被检查单位就执行本法的有关问题作出说明；</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（三）进入被检查单位的生产场所进行调查；</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（四）责令被检查单位停止违反本法的行为，履行法定义务。</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第六十一</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有关单位或者个人对水政监督检查人员的监督检查工作应当给予配合，不得拒绝或者阻碍水政监督检查人员依法执行职务。</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第六十二</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水政监督检查人员在履行监督检查职责时，应当向被检查单位或者个人出示执法证件。</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第六十三</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县级以上人民政府或者上级水行政主管部门发现本级或者下级水行政主管部门在监督检查工作中有违法或者失职行为的，应当责令其限期改正。</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黑体"/>
          <w:sz w:val="22"/>
          <w:szCs w:val="22"/>
        </w:rPr>
      </w:pPr>
      <w:r w:rsidRPr="000D2E22">
        <w:rPr>
          <w:rFonts w:ascii="微软雅黑" w:eastAsia="微软雅黑" w:hAnsi="微软雅黑" w:cs="黑体" w:hint="eastAsia"/>
          <w:sz w:val="22"/>
          <w:szCs w:val="22"/>
        </w:rPr>
        <w:t>第七章　法律责任</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黑体" w:hint="eastAsia"/>
          <w:sz w:val="22"/>
          <w:szCs w:val="22"/>
        </w:rPr>
        <w:t xml:space="preserve">　　第六十四</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w:t>
      </w:r>
      <w:r w:rsidRPr="000D2E22">
        <w:rPr>
          <w:rFonts w:ascii="微软雅黑" w:eastAsia="微软雅黑" w:hAnsi="微软雅黑" w:cs="仿宋_GB2312" w:hint="eastAsia"/>
          <w:sz w:val="22"/>
          <w:szCs w:val="22"/>
        </w:rPr>
        <w:t>或者发现违法行为不予查处，造成严重后果，构成犯罪的，对负有责任的主管人员和其他直接责任人员依照刑法的有关规定追究刑事责任；尚不够刑事处罚的，依法给予行政处分。</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第六十五</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未经</w:t>
      </w:r>
      <w:r w:rsidRPr="000D2E22">
        <w:rPr>
          <w:rFonts w:ascii="微软雅黑" w:eastAsia="微软雅黑" w:hAnsi="微软雅黑" w:cs="仿宋_GB2312" w:hint="eastAsia"/>
          <w:sz w:val="22"/>
          <w:szCs w:val="22"/>
        </w:rPr>
        <w:t>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虽经水行政主管部门或者流域管理机构同意，但未按照要求修建前款所列工程设施的，由县级以上人民政府水行政主管部门或者流</w:t>
      </w:r>
      <w:r w:rsidRPr="000D2E22">
        <w:rPr>
          <w:rFonts w:ascii="微软雅黑" w:eastAsia="微软雅黑" w:hAnsi="微软雅黑" w:cs="仿宋_GB2312" w:hint="eastAsia"/>
          <w:sz w:val="22"/>
          <w:szCs w:val="22"/>
        </w:rPr>
        <w:t>域管理机构依据职权，责令限期改正，按照情节轻重，处一万元以上十万元以下的罚款。</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第六十六</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有下列行为之一，且防洪法未作规定的，由县级以上人民政府水行政主管部门或者流域管理机构依据职权，责令停止违法行为，限期清除障碍或者采取其他补救措施，处一万元以上五万元以下的罚款</w:t>
      </w:r>
      <w:r w:rsidRPr="000D2E22">
        <w:rPr>
          <w:rFonts w:ascii="微软雅黑" w:eastAsia="微软雅黑" w:hAnsi="微软雅黑" w:cs="仿宋_GB2312" w:hint="eastAsia"/>
          <w:sz w:val="22"/>
          <w:szCs w:val="22"/>
        </w:rPr>
        <w:t>:</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（一）在江河、湖泊、水库、运河、渠道内弃置、堆放阻碍行洪的物体和种植阻碍行洪的林木及高秆作物的；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（二）围湖造地或者未经批准围垦河道的。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第六十七</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在饮用水水源保护区内设置排污口的，由县级以上地方人民政府责令限期拆除、恢复原</w:t>
      </w:r>
      <w:r w:rsidRPr="000D2E22">
        <w:rPr>
          <w:rFonts w:ascii="微软雅黑" w:eastAsia="微软雅黑" w:hAnsi="微软雅黑" w:cs="仿宋_GB2312" w:hint="eastAsia"/>
          <w:sz w:val="22"/>
          <w:szCs w:val="22"/>
        </w:rPr>
        <w:t>状；逾期不拆除、不恢复原状的，强行拆除、恢复原状，并处五万元以上十万元以下的罚款。</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第六十八</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生产、销售或者在生产经营中使用国家明令淘汰的落后的、耗水量高的工艺、设备和产品的，由县级以上地方人民政府经济综合主管部门责令停止生产、销售或者使用，处二万元以上十万元以下的罚款。</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第六十九</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有</w:t>
      </w:r>
      <w:r w:rsidRPr="000D2E22">
        <w:rPr>
          <w:rFonts w:ascii="微软雅黑" w:eastAsia="微软雅黑" w:hAnsi="微软雅黑" w:cs="仿宋_GB2312" w:hint="eastAsia"/>
          <w:sz w:val="22"/>
          <w:szCs w:val="22"/>
        </w:rPr>
        <w:t>下列行为之一的，由县级以上人民政府水行政主管部门或者流域管理机构依据职权，责令停止违法行为，限期采取补救措施，处二万元以上十万元以下的罚款；情节严重的，吊销其取水许可证</w:t>
      </w:r>
      <w:r w:rsidRPr="000D2E22">
        <w:rPr>
          <w:rFonts w:ascii="微软雅黑" w:eastAsia="微软雅黑" w:hAnsi="微软雅黑" w:cs="仿宋_GB2312" w:hint="eastAsia"/>
          <w:sz w:val="22"/>
          <w:szCs w:val="22"/>
        </w:rPr>
        <w:t>:</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（一）未经批准擅自取水的；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（二）未依照批准的取水许可规定条件取水的。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第七十一</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建设项目的节水设施没有建成或者没有达到国家规定的要求，擅自投入使用的，由县级以上人民政府有关部门或者流域管理机构依据职权，责令停止使用，限期改正，处五万元以上十万元以下的罚款。</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第七十二</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sidRPr="000D2E22">
        <w:rPr>
          <w:rFonts w:ascii="微软雅黑" w:eastAsia="微软雅黑" w:hAnsi="微软雅黑" w:cs="仿宋_GB2312" w:hint="eastAsia"/>
          <w:sz w:val="22"/>
          <w:szCs w:val="22"/>
        </w:rPr>
        <w:t>:</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（一）侵占、毁坏水工程及堤防、护岸等有关设施，毁坏防汛、水文监测、水文地质监测设施的；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（二）在水工程保护范围内，从事影响水工程运行和危害水工程安全的爆破、打井、采石、取土等活动的。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第七十三</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侵占、盗窃或者抢夺防汛物资，防洪排涝、农田水利、水文监测和测量以及其他水工程设</w:t>
      </w:r>
      <w:r w:rsidRPr="000D2E22">
        <w:rPr>
          <w:rFonts w:ascii="微软雅黑" w:eastAsia="微软雅黑" w:hAnsi="微软雅黑" w:cs="仿宋_GB2312" w:hint="eastAsia"/>
          <w:sz w:val="22"/>
          <w:szCs w:val="22"/>
        </w:rPr>
        <w:lastRenderedPageBreak/>
        <w:t>备和器材，贪污或者挪用国家救灾、抢险、防汛、移民安置和补偿及其他水利建设款物，构成犯罪的，依照刑法的有关规定追究刑事责任。</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第七十四</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在水事纠纷发生及其处理过程中煽动闹事、结伙斗殴、抢夺或者损坏公私财物、非法限制他人人身自由</w:t>
      </w:r>
      <w:r w:rsidRPr="000D2E22">
        <w:rPr>
          <w:rFonts w:ascii="微软雅黑" w:eastAsia="微软雅黑" w:hAnsi="微软雅黑" w:cs="仿宋_GB2312" w:hint="eastAsia"/>
          <w:sz w:val="22"/>
          <w:szCs w:val="22"/>
        </w:rPr>
        <w:t>，构成犯罪的，依照刑法的有关规定追究刑事责任；尚不够刑事处罚的，由公安机关依法给予治安管理处罚。</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第七十五</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不同行政区域之间发生水事纠纷，有下列行为之一的，对负有责任的主管人员和其他直接责任人员依法给予行政处分</w:t>
      </w:r>
      <w:r w:rsidRPr="000D2E22">
        <w:rPr>
          <w:rFonts w:ascii="微软雅黑" w:eastAsia="微软雅黑" w:hAnsi="微软雅黑" w:cs="仿宋_GB2312" w:hint="eastAsia"/>
          <w:sz w:val="22"/>
          <w:szCs w:val="22"/>
        </w:rPr>
        <w:t>:</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（一）拒不执行水量分配方案和水量调度预案的；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（二）拒不服从水量统一调度的；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（三）拒不执行上一级人民政府的裁决的；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（四）在水事纠纷解决前，未经各方达成协议或者上一级人民政府批准，单方面违反本法规定改变水的现状的。</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第七十六</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引水、截（蓄）水、排水，损害公共利益或者他</w:t>
      </w:r>
      <w:r w:rsidRPr="000D2E22">
        <w:rPr>
          <w:rFonts w:ascii="微软雅黑" w:eastAsia="微软雅黑" w:hAnsi="微软雅黑" w:cs="仿宋_GB2312" w:hint="eastAsia"/>
          <w:sz w:val="22"/>
          <w:szCs w:val="22"/>
        </w:rPr>
        <w:t>人合法权益的，依法承担民事责任。</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第七十七</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对违反本法第三十九条有关河道采砂许可制度规定的行政处罚，由国务院规定。</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黑体"/>
          <w:sz w:val="22"/>
          <w:szCs w:val="22"/>
        </w:rPr>
      </w:pPr>
      <w:r w:rsidRPr="000D2E22">
        <w:rPr>
          <w:rFonts w:ascii="微软雅黑" w:eastAsia="微软雅黑" w:hAnsi="微软雅黑" w:cs="黑体" w:hint="eastAsia"/>
          <w:sz w:val="22"/>
          <w:szCs w:val="22"/>
        </w:rPr>
        <w:t>第八章　附则</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第七十八</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中华人民共和国缔结或者参加的与国际或者国境边界河流、湖泊有关的国际条约、协定与中华人民共和国法律有不同规定的，适用国际条约、协定的规定。但是，中华人民共和国声明保留的条款除外。</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第七十九</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本法所称水工程，是指在江河、湖泊和地下水源上开发、利用、控制、调配和保护水资源的各类工程。</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第八十</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海水的开发、利用、保护和管理，依照有关法律的规定执行。</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第八十一</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从事防洪活动，依照防洪法的规定执行。</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仿宋_GB2312" w:hint="eastAsia"/>
          <w:sz w:val="22"/>
          <w:szCs w:val="22"/>
        </w:rPr>
        <w:t>水污染防治，依照水污染防治法的规定执行。</w:t>
      </w:r>
    </w:p>
    <w:p w:rsidR="00D530B4" w:rsidRPr="000D2E22" w:rsidRDefault="007304AF" w:rsidP="000D2E22">
      <w:pPr>
        <w:spacing w:line="240" w:lineRule="exact"/>
        <w:rPr>
          <w:rFonts w:ascii="微软雅黑" w:eastAsia="微软雅黑" w:hAnsi="微软雅黑" w:cs="仿宋_GB2312"/>
          <w:sz w:val="22"/>
          <w:szCs w:val="22"/>
        </w:rPr>
      </w:pPr>
      <w:r w:rsidRPr="000D2E22">
        <w:rPr>
          <w:rFonts w:ascii="微软雅黑" w:eastAsia="微软雅黑" w:hAnsi="微软雅黑" w:cs="仿宋_GB2312" w:hint="eastAsia"/>
          <w:sz w:val="22"/>
          <w:szCs w:val="22"/>
        </w:rPr>
        <w:t xml:space="preserve">　　</w:t>
      </w:r>
      <w:r w:rsidRPr="000D2E22">
        <w:rPr>
          <w:rFonts w:ascii="微软雅黑" w:eastAsia="微软雅黑" w:hAnsi="微软雅黑" w:cs="黑体" w:hint="eastAsia"/>
          <w:sz w:val="22"/>
          <w:szCs w:val="22"/>
        </w:rPr>
        <w:t>第八十二</w:t>
      </w:r>
      <w:r w:rsidRPr="000D2E22">
        <w:rPr>
          <w:rFonts w:ascii="微软雅黑" w:eastAsia="微软雅黑" w:hAnsi="微软雅黑" w:cs="仿宋_GB2312" w:hint="eastAsia"/>
          <w:sz w:val="22"/>
          <w:szCs w:val="22"/>
        </w:rPr>
        <w:t>条</w:t>
      </w:r>
      <w:r w:rsidRPr="000D2E22">
        <w:rPr>
          <w:rFonts w:ascii="微软雅黑" w:eastAsia="微软雅黑" w:hAnsi="微软雅黑" w:cs="仿宋_GB2312" w:hint="eastAsia"/>
          <w:sz w:val="22"/>
          <w:szCs w:val="22"/>
        </w:rPr>
        <w:t xml:space="preserve">　本法自</w:t>
      </w:r>
      <w:r w:rsidRPr="000D2E22">
        <w:rPr>
          <w:rFonts w:ascii="微软雅黑" w:eastAsia="微软雅黑" w:hAnsi="微软雅黑" w:cs="仿宋_GB2312" w:hint="eastAsia"/>
          <w:sz w:val="22"/>
          <w:szCs w:val="22"/>
        </w:rPr>
        <w:t>2002</w:t>
      </w:r>
      <w:r w:rsidRPr="000D2E22">
        <w:rPr>
          <w:rFonts w:ascii="微软雅黑" w:eastAsia="微软雅黑" w:hAnsi="微软雅黑" w:cs="仿宋_GB2312" w:hint="eastAsia"/>
          <w:sz w:val="22"/>
          <w:szCs w:val="22"/>
        </w:rPr>
        <w:t>年</w:t>
      </w:r>
      <w:r w:rsidRPr="000D2E22">
        <w:rPr>
          <w:rFonts w:ascii="微软雅黑" w:eastAsia="微软雅黑" w:hAnsi="微软雅黑" w:cs="仿宋_GB2312" w:hint="eastAsia"/>
          <w:sz w:val="22"/>
          <w:szCs w:val="22"/>
        </w:rPr>
        <w:t>10</w:t>
      </w:r>
      <w:r w:rsidRPr="000D2E22">
        <w:rPr>
          <w:rFonts w:ascii="微软雅黑" w:eastAsia="微软雅黑" w:hAnsi="微软雅黑" w:cs="仿宋_GB2312" w:hint="eastAsia"/>
          <w:sz w:val="22"/>
          <w:szCs w:val="22"/>
        </w:rPr>
        <w:t>月</w:t>
      </w:r>
      <w:r w:rsidRPr="000D2E22">
        <w:rPr>
          <w:rFonts w:ascii="微软雅黑" w:eastAsia="微软雅黑" w:hAnsi="微软雅黑" w:cs="仿宋_GB2312" w:hint="eastAsia"/>
          <w:sz w:val="22"/>
          <w:szCs w:val="22"/>
        </w:rPr>
        <w:t>1</w:t>
      </w:r>
      <w:r w:rsidRPr="000D2E22">
        <w:rPr>
          <w:rFonts w:ascii="微软雅黑" w:eastAsia="微软雅黑" w:hAnsi="微软雅黑" w:cs="仿宋_GB2312" w:hint="eastAsia"/>
          <w:sz w:val="22"/>
          <w:szCs w:val="22"/>
        </w:rPr>
        <w:t>日起施行。</w:t>
      </w:r>
    </w:p>
    <w:sectPr w:rsidR="00D530B4" w:rsidRPr="000D2E22" w:rsidSect="000D2E2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4AF" w:rsidRDefault="007304AF" w:rsidP="00D530B4">
      <w:r>
        <w:separator/>
      </w:r>
    </w:p>
  </w:endnote>
  <w:endnote w:type="continuationSeparator" w:id="0">
    <w:p w:rsidR="007304AF" w:rsidRDefault="007304AF" w:rsidP="00D53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B4" w:rsidRDefault="00D530B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530B4" w:rsidRDefault="007304A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530B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530B4">
                  <w:rPr>
                    <w:rFonts w:ascii="宋体" w:eastAsia="宋体" w:hAnsi="宋体" w:cs="宋体" w:hint="eastAsia"/>
                    <w:sz w:val="28"/>
                    <w:szCs w:val="28"/>
                  </w:rPr>
                  <w:fldChar w:fldCharType="separate"/>
                </w:r>
                <w:r w:rsidR="000D2E22">
                  <w:rPr>
                    <w:rFonts w:ascii="宋体" w:eastAsia="宋体" w:hAnsi="宋体" w:cs="宋体"/>
                    <w:noProof/>
                    <w:sz w:val="28"/>
                    <w:szCs w:val="28"/>
                  </w:rPr>
                  <w:t>6</w:t>
                </w:r>
                <w:r w:rsidR="00D530B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B4" w:rsidRDefault="00D530B4">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530B4" w:rsidRDefault="007304A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530B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530B4">
                  <w:rPr>
                    <w:rFonts w:ascii="宋体" w:eastAsia="宋体" w:hAnsi="宋体" w:cs="宋体" w:hint="eastAsia"/>
                    <w:sz w:val="28"/>
                    <w:szCs w:val="28"/>
                  </w:rPr>
                  <w:fldChar w:fldCharType="separate"/>
                </w:r>
                <w:r w:rsidR="000D2E22">
                  <w:rPr>
                    <w:rFonts w:ascii="宋体" w:eastAsia="宋体" w:hAnsi="宋体" w:cs="宋体"/>
                    <w:noProof/>
                    <w:sz w:val="28"/>
                    <w:szCs w:val="28"/>
                  </w:rPr>
                  <w:t>1</w:t>
                </w:r>
                <w:r w:rsidR="00D530B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4AF" w:rsidRDefault="007304AF" w:rsidP="00D530B4">
      <w:r>
        <w:separator/>
      </w:r>
    </w:p>
  </w:footnote>
  <w:footnote w:type="continuationSeparator" w:id="0">
    <w:p w:rsidR="007304AF" w:rsidRDefault="007304AF" w:rsidP="00D53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B4" w:rsidRDefault="00D530B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B4" w:rsidRDefault="00D530B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D2E22"/>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408A"/>
    <w:rsid w:val="005866F9"/>
    <w:rsid w:val="00597FF0"/>
    <w:rsid w:val="005B4D16"/>
    <w:rsid w:val="005C6A1B"/>
    <w:rsid w:val="005E5EEF"/>
    <w:rsid w:val="006125B7"/>
    <w:rsid w:val="0061561D"/>
    <w:rsid w:val="006208B2"/>
    <w:rsid w:val="00661B2B"/>
    <w:rsid w:val="006858D8"/>
    <w:rsid w:val="006B016C"/>
    <w:rsid w:val="006B487D"/>
    <w:rsid w:val="006B7880"/>
    <w:rsid w:val="007304AF"/>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30B4"/>
    <w:rsid w:val="00D54AF3"/>
    <w:rsid w:val="00D54B93"/>
    <w:rsid w:val="00D70A89"/>
    <w:rsid w:val="00D76CB4"/>
    <w:rsid w:val="00D84514"/>
    <w:rsid w:val="00DC5C43"/>
    <w:rsid w:val="00DD0B8B"/>
    <w:rsid w:val="00E235DD"/>
    <w:rsid w:val="00E64956"/>
    <w:rsid w:val="00EE4F6D"/>
    <w:rsid w:val="00F00D39"/>
    <w:rsid w:val="00FA3C68"/>
    <w:rsid w:val="00FC68C1"/>
    <w:rsid w:val="0114612A"/>
    <w:rsid w:val="01ED4F47"/>
    <w:rsid w:val="05791921"/>
    <w:rsid w:val="06505F15"/>
    <w:rsid w:val="072208E6"/>
    <w:rsid w:val="08210A6D"/>
    <w:rsid w:val="0B115E15"/>
    <w:rsid w:val="0B957AC8"/>
    <w:rsid w:val="0C4A0C32"/>
    <w:rsid w:val="0C4E6F56"/>
    <w:rsid w:val="0CA9360A"/>
    <w:rsid w:val="0D2F2A95"/>
    <w:rsid w:val="0F1B03E0"/>
    <w:rsid w:val="12F94867"/>
    <w:rsid w:val="13897E98"/>
    <w:rsid w:val="150E3F5F"/>
    <w:rsid w:val="15995A00"/>
    <w:rsid w:val="1706691E"/>
    <w:rsid w:val="18BE58F5"/>
    <w:rsid w:val="19F86B68"/>
    <w:rsid w:val="19FC1879"/>
    <w:rsid w:val="1C62410F"/>
    <w:rsid w:val="1DBD6DF9"/>
    <w:rsid w:val="23E92B60"/>
    <w:rsid w:val="24D82782"/>
    <w:rsid w:val="24FA630D"/>
    <w:rsid w:val="28775F76"/>
    <w:rsid w:val="29B02F2E"/>
    <w:rsid w:val="2AA5267B"/>
    <w:rsid w:val="2E2459E9"/>
    <w:rsid w:val="2E5001DC"/>
    <w:rsid w:val="2E994720"/>
    <w:rsid w:val="2EF92CE6"/>
    <w:rsid w:val="2F7753E6"/>
    <w:rsid w:val="32204B2D"/>
    <w:rsid w:val="3258761C"/>
    <w:rsid w:val="337A1DE3"/>
    <w:rsid w:val="33804543"/>
    <w:rsid w:val="353A3D20"/>
    <w:rsid w:val="36A02196"/>
    <w:rsid w:val="3A5D56A7"/>
    <w:rsid w:val="3CAC20BC"/>
    <w:rsid w:val="3D1A1B85"/>
    <w:rsid w:val="40C32ACC"/>
    <w:rsid w:val="41E6440D"/>
    <w:rsid w:val="44477155"/>
    <w:rsid w:val="44BC0EEC"/>
    <w:rsid w:val="47692B37"/>
    <w:rsid w:val="482A39F4"/>
    <w:rsid w:val="49C77146"/>
    <w:rsid w:val="4B4B7A2E"/>
    <w:rsid w:val="4C0419F1"/>
    <w:rsid w:val="50136C36"/>
    <w:rsid w:val="532B71C6"/>
    <w:rsid w:val="56755F92"/>
    <w:rsid w:val="59D0424A"/>
    <w:rsid w:val="5C094B1A"/>
    <w:rsid w:val="5E0A489B"/>
    <w:rsid w:val="5E132BF7"/>
    <w:rsid w:val="5FA875EF"/>
    <w:rsid w:val="62663FCF"/>
    <w:rsid w:val="62A7695F"/>
    <w:rsid w:val="62C52A52"/>
    <w:rsid w:val="63AC1DAA"/>
    <w:rsid w:val="6501697A"/>
    <w:rsid w:val="653A70E2"/>
    <w:rsid w:val="667828EE"/>
    <w:rsid w:val="6701413B"/>
    <w:rsid w:val="69FD024B"/>
    <w:rsid w:val="6C1E17DE"/>
    <w:rsid w:val="6C6D0995"/>
    <w:rsid w:val="6DEE64A4"/>
    <w:rsid w:val="6F556051"/>
    <w:rsid w:val="700D6A62"/>
    <w:rsid w:val="702C5F51"/>
    <w:rsid w:val="70B32443"/>
    <w:rsid w:val="710841D5"/>
    <w:rsid w:val="72406E3D"/>
    <w:rsid w:val="72B21701"/>
    <w:rsid w:val="741052E8"/>
    <w:rsid w:val="74355E6F"/>
    <w:rsid w:val="7B4B5D0A"/>
    <w:rsid w:val="7CF35360"/>
    <w:rsid w:val="7D3D0CCB"/>
    <w:rsid w:val="7D686817"/>
    <w:rsid w:val="7DD71DE2"/>
    <w:rsid w:val="7DE561FA"/>
    <w:rsid w:val="7E2E3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0B4"/>
    <w:pPr>
      <w:widowControl w:val="0"/>
      <w:jc w:val="both"/>
    </w:pPr>
    <w:rPr>
      <w:rFonts w:eastAsia="仿宋_GB2312"/>
      <w:kern w:val="2"/>
      <w:sz w:val="32"/>
      <w:szCs w:val="24"/>
    </w:rPr>
  </w:style>
  <w:style w:type="paragraph" w:styleId="1">
    <w:name w:val="heading 1"/>
    <w:basedOn w:val="a"/>
    <w:next w:val="a"/>
    <w:link w:val="1Char"/>
    <w:qFormat/>
    <w:rsid w:val="00D530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530B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530B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530B4"/>
    <w:pPr>
      <w:shd w:val="clear" w:color="auto" w:fill="000080"/>
    </w:pPr>
  </w:style>
  <w:style w:type="paragraph" w:styleId="a4">
    <w:name w:val="Plain Text"/>
    <w:basedOn w:val="a"/>
    <w:link w:val="Char"/>
    <w:uiPriority w:val="99"/>
    <w:unhideWhenUsed/>
    <w:qFormat/>
    <w:rsid w:val="00D530B4"/>
    <w:rPr>
      <w:rFonts w:ascii="宋体" w:eastAsia="宋体" w:hAnsi="Courier New"/>
      <w:sz w:val="21"/>
      <w:szCs w:val="21"/>
    </w:rPr>
  </w:style>
  <w:style w:type="paragraph" w:styleId="a5">
    <w:name w:val="Balloon Text"/>
    <w:basedOn w:val="a"/>
    <w:semiHidden/>
    <w:qFormat/>
    <w:rsid w:val="00D530B4"/>
    <w:rPr>
      <w:sz w:val="18"/>
      <w:szCs w:val="18"/>
    </w:rPr>
  </w:style>
  <w:style w:type="paragraph" w:styleId="a6">
    <w:name w:val="footer"/>
    <w:basedOn w:val="a"/>
    <w:link w:val="Char0"/>
    <w:uiPriority w:val="99"/>
    <w:qFormat/>
    <w:rsid w:val="00D530B4"/>
    <w:pPr>
      <w:tabs>
        <w:tab w:val="center" w:pos="4153"/>
        <w:tab w:val="right" w:pos="8306"/>
      </w:tabs>
      <w:snapToGrid w:val="0"/>
      <w:jc w:val="left"/>
    </w:pPr>
    <w:rPr>
      <w:sz w:val="18"/>
      <w:szCs w:val="18"/>
    </w:rPr>
  </w:style>
  <w:style w:type="paragraph" w:styleId="a7">
    <w:name w:val="header"/>
    <w:basedOn w:val="a"/>
    <w:link w:val="Char1"/>
    <w:uiPriority w:val="99"/>
    <w:qFormat/>
    <w:rsid w:val="00D530B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530B4"/>
  </w:style>
  <w:style w:type="paragraph" w:styleId="a8">
    <w:name w:val="Subtitle"/>
    <w:basedOn w:val="a"/>
    <w:next w:val="a"/>
    <w:link w:val="Char2"/>
    <w:qFormat/>
    <w:rsid w:val="00D530B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530B4"/>
    <w:pPr>
      <w:ind w:leftChars="200" w:left="420"/>
    </w:pPr>
  </w:style>
  <w:style w:type="paragraph" w:styleId="a9">
    <w:name w:val="Title"/>
    <w:basedOn w:val="a"/>
    <w:next w:val="a"/>
    <w:link w:val="Char3"/>
    <w:qFormat/>
    <w:rsid w:val="00D530B4"/>
    <w:pPr>
      <w:spacing w:before="240" w:after="60"/>
      <w:jc w:val="center"/>
      <w:outlineLvl w:val="0"/>
    </w:pPr>
    <w:rPr>
      <w:rFonts w:ascii="Cambria" w:eastAsia="宋体" w:hAnsi="Cambria"/>
      <w:b/>
      <w:bCs/>
      <w:szCs w:val="32"/>
    </w:rPr>
  </w:style>
  <w:style w:type="character" w:styleId="aa">
    <w:name w:val="Strong"/>
    <w:qFormat/>
    <w:rsid w:val="00D530B4"/>
    <w:rPr>
      <w:b/>
      <w:bCs/>
    </w:rPr>
  </w:style>
  <w:style w:type="character" w:styleId="ab">
    <w:name w:val="page number"/>
    <w:basedOn w:val="a0"/>
    <w:qFormat/>
    <w:rsid w:val="00D530B4"/>
  </w:style>
  <w:style w:type="character" w:styleId="ac">
    <w:name w:val="FollowedHyperlink"/>
    <w:qFormat/>
    <w:rsid w:val="00D530B4"/>
    <w:rPr>
      <w:color w:val="800080"/>
      <w:u w:val="single"/>
    </w:rPr>
  </w:style>
  <w:style w:type="character" w:styleId="ad">
    <w:name w:val="Emphasis"/>
    <w:qFormat/>
    <w:rsid w:val="00D530B4"/>
    <w:rPr>
      <w:i/>
      <w:iCs/>
    </w:rPr>
  </w:style>
  <w:style w:type="character" w:styleId="ae">
    <w:name w:val="Hyperlink"/>
    <w:uiPriority w:val="99"/>
    <w:qFormat/>
    <w:rsid w:val="00D530B4"/>
    <w:rPr>
      <w:rFonts w:ascii="ˎ̥" w:hAnsi="ˎ̥" w:hint="default"/>
      <w:color w:val="0404B3"/>
      <w:sz w:val="18"/>
      <w:szCs w:val="18"/>
      <w:u w:val="none"/>
    </w:rPr>
  </w:style>
  <w:style w:type="table" w:styleId="af">
    <w:name w:val="Table Grid"/>
    <w:basedOn w:val="a1"/>
    <w:qFormat/>
    <w:rsid w:val="00D530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D530B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530B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530B4"/>
    <w:rPr>
      <w:rFonts w:eastAsia="仿宋_GB2312"/>
      <w:kern w:val="2"/>
      <w:sz w:val="18"/>
      <w:szCs w:val="18"/>
    </w:rPr>
  </w:style>
  <w:style w:type="character" w:customStyle="1" w:styleId="Char">
    <w:name w:val="纯文本 Char"/>
    <w:link w:val="a4"/>
    <w:uiPriority w:val="99"/>
    <w:qFormat/>
    <w:rsid w:val="00D530B4"/>
    <w:rPr>
      <w:rFonts w:ascii="宋体" w:hAnsi="Courier New" w:cs="Courier New"/>
      <w:kern w:val="2"/>
      <w:sz w:val="21"/>
      <w:szCs w:val="21"/>
    </w:rPr>
  </w:style>
  <w:style w:type="character" w:customStyle="1" w:styleId="Char10">
    <w:name w:val="纯文本 Char1"/>
    <w:qFormat/>
    <w:rsid w:val="00D530B4"/>
    <w:rPr>
      <w:rFonts w:ascii="宋体" w:hAnsi="Courier New" w:cs="Courier New"/>
      <w:kern w:val="2"/>
      <w:sz w:val="21"/>
      <w:szCs w:val="21"/>
    </w:rPr>
  </w:style>
  <w:style w:type="character" w:customStyle="1" w:styleId="Char2">
    <w:name w:val="副标题 Char"/>
    <w:link w:val="a8"/>
    <w:qFormat/>
    <w:rsid w:val="00D530B4"/>
    <w:rPr>
      <w:rFonts w:ascii="Cambria" w:hAnsi="Cambria" w:cs="Times New Roman"/>
      <w:b/>
      <w:bCs/>
      <w:kern w:val="28"/>
      <w:sz w:val="32"/>
      <w:szCs w:val="32"/>
    </w:rPr>
  </w:style>
  <w:style w:type="character" w:customStyle="1" w:styleId="1Char">
    <w:name w:val="标题 1 Char"/>
    <w:link w:val="1"/>
    <w:qFormat/>
    <w:rsid w:val="00D530B4"/>
    <w:rPr>
      <w:rFonts w:eastAsia="仿宋_GB2312"/>
      <w:b/>
      <w:bCs/>
      <w:kern w:val="44"/>
      <w:sz w:val="44"/>
      <w:szCs w:val="44"/>
    </w:rPr>
  </w:style>
  <w:style w:type="character" w:customStyle="1" w:styleId="Char3">
    <w:name w:val="标题 Char"/>
    <w:link w:val="a9"/>
    <w:qFormat/>
    <w:rsid w:val="00D530B4"/>
    <w:rPr>
      <w:rFonts w:ascii="Cambria" w:hAnsi="Cambria" w:cs="Times New Roman"/>
      <w:b/>
      <w:bCs/>
      <w:kern w:val="2"/>
      <w:sz w:val="32"/>
      <w:szCs w:val="32"/>
    </w:rPr>
  </w:style>
  <w:style w:type="character" w:customStyle="1" w:styleId="11Char">
    <w:name w:val="1.1 Char"/>
    <w:link w:val="11"/>
    <w:qFormat/>
    <w:rsid w:val="00D530B4"/>
    <w:rPr>
      <w:rFonts w:ascii="Calibri" w:hAnsi="Calibri"/>
      <w:b/>
      <w:bCs/>
      <w:kern w:val="2"/>
      <w:sz w:val="30"/>
      <w:szCs w:val="32"/>
    </w:rPr>
  </w:style>
  <w:style w:type="character" w:customStyle="1" w:styleId="3Char">
    <w:name w:val="标题 3 Char"/>
    <w:link w:val="3"/>
    <w:semiHidden/>
    <w:qFormat/>
    <w:rsid w:val="00D530B4"/>
    <w:rPr>
      <w:rFonts w:eastAsia="仿宋_GB2312"/>
      <w:b/>
      <w:bCs/>
      <w:kern w:val="2"/>
      <w:sz w:val="32"/>
      <w:szCs w:val="32"/>
    </w:rPr>
  </w:style>
  <w:style w:type="character" w:customStyle="1" w:styleId="2Char">
    <w:name w:val="标题 2 Char"/>
    <w:link w:val="2"/>
    <w:uiPriority w:val="9"/>
    <w:qFormat/>
    <w:rsid w:val="00D530B4"/>
    <w:rPr>
      <w:rFonts w:ascii="Cambria" w:hAnsi="Cambria"/>
      <w:b/>
      <w:bCs/>
      <w:kern w:val="2"/>
      <w:sz w:val="32"/>
      <w:szCs w:val="32"/>
    </w:rPr>
  </w:style>
  <w:style w:type="character" w:customStyle="1" w:styleId="Char0">
    <w:name w:val="页脚 Char"/>
    <w:link w:val="a6"/>
    <w:uiPriority w:val="99"/>
    <w:qFormat/>
    <w:rsid w:val="00D530B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1673</Words>
  <Characters>9539</Characters>
  <Application>Microsoft Office Word</Application>
  <DocSecurity>0</DocSecurity>
  <Lines>79</Lines>
  <Paragraphs>22</Paragraphs>
  <ScaleCrop>false</ScaleCrop>
  <Company>Lenovo</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