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754F97" w:rsidP="00754F97">
      <w:pPr>
        <w:spacing w:line="500" w:lineRule="exact"/>
        <w:jc w:val="center"/>
        <w:rPr>
          <w:rFonts w:ascii="微软雅黑" w:eastAsia="微软雅黑" w:hAnsi="微软雅黑" w:cs="宋体"/>
          <w:b/>
          <w:color w:val="FF0000"/>
          <w:sz w:val="40"/>
          <w:szCs w:val="40"/>
        </w:rPr>
      </w:pPr>
      <w:r w:rsidRPr="00754F97">
        <w:rPr>
          <w:rFonts w:ascii="微软雅黑" w:eastAsia="微软雅黑" w:hAnsi="微软雅黑" w:cs="宋体" w:hint="eastAsia"/>
          <w:b/>
          <w:color w:val="FF0000"/>
          <w:sz w:val="40"/>
          <w:szCs w:val="40"/>
        </w:rPr>
        <w:t>《</w:t>
      </w:r>
      <w:r w:rsidR="00152449" w:rsidRPr="00754F97">
        <w:rPr>
          <w:rFonts w:ascii="微软雅黑" w:eastAsia="微软雅黑" w:hAnsi="微软雅黑" w:cs="宋体" w:hint="eastAsia"/>
          <w:b/>
          <w:color w:val="FF0000"/>
          <w:sz w:val="40"/>
          <w:szCs w:val="40"/>
        </w:rPr>
        <w:t>中华人民共和国渔业法</w:t>
      </w:r>
      <w:r w:rsidRPr="00754F97">
        <w:rPr>
          <w:rFonts w:ascii="微软雅黑" w:eastAsia="微软雅黑" w:hAnsi="微软雅黑" w:cs="宋体" w:hint="eastAsia"/>
          <w:b/>
          <w:color w:val="FF0000"/>
          <w:sz w:val="40"/>
          <w:szCs w:val="40"/>
        </w:rPr>
        <w:t>》</w:t>
      </w:r>
    </w:p>
    <w:p w:rsidR="00DC73B7" w:rsidRPr="00754F97" w:rsidRDefault="00DC73B7" w:rsidP="00754F97">
      <w:pPr>
        <w:spacing w:line="240" w:lineRule="exact"/>
        <w:rPr>
          <w:rFonts w:ascii="微软雅黑" w:eastAsia="微软雅黑" w:hAnsi="微软雅黑" w:cs="宋体"/>
          <w:sz w:val="22"/>
          <w:szCs w:val="22"/>
        </w:rPr>
      </w:pPr>
      <w:bookmarkStart w:id="0" w:name="_GoBack"/>
      <w:bookmarkEnd w:id="0"/>
    </w:p>
    <w:p w:rsidR="00DC73B7" w:rsidRPr="00754F97" w:rsidRDefault="00152449" w:rsidP="00754F97">
      <w:pPr>
        <w:spacing w:line="240" w:lineRule="exact"/>
        <w:ind w:leftChars="200" w:left="640" w:rightChars="200" w:right="640"/>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w:t>
      </w:r>
      <w:r w:rsidRPr="00754F97">
        <w:rPr>
          <w:rFonts w:ascii="微软雅黑" w:eastAsia="微软雅黑" w:hAnsi="微软雅黑" w:cs="楷体_GB2312" w:hint="eastAsia"/>
          <w:sz w:val="22"/>
          <w:szCs w:val="22"/>
        </w:rPr>
        <w:t>1986</w:t>
      </w:r>
      <w:r w:rsidRPr="00754F97">
        <w:rPr>
          <w:rFonts w:ascii="微软雅黑" w:eastAsia="微软雅黑" w:hAnsi="微软雅黑" w:cs="楷体_GB2312" w:hint="eastAsia"/>
          <w:sz w:val="22"/>
          <w:szCs w:val="22"/>
        </w:rPr>
        <w:t>年</w:t>
      </w:r>
      <w:r w:rsidRPr="00754F97">
        <w:rPr>
          <w:rFonts w:ascii="微软雅黑" w:eastAsia="微软雅黑" w:hAnsi="微软雅黑" w:cs="楷体_GB2312" w:hint="eastAsia"/>
          <w:sz w:val="22"/>
          <w:szCs w:val="22"/>
        </w:rPr>
        <w:t>1</w:t>
      </w:r>
      <w:r w:rsidRPr="00754F97">
        <w:rPr>
          <w:rFonts w:ascii="微软雅黑" w:eastAsia="微软雅黑" w:hAnsi="微软雅黑" w:cs="楷体_GB2312" w:hint="eastAsia"/>
          <w:sz w:val="22"/>
          <w:szCs w:val="22"/>
        </w:rPr>
        <w:t>月</w:t>
      </w:r>
      <w:r w:rsidRPr="00754F97">
        <w:rPr>
          <w:rFonts w:ascii="微软雅黑" w:eastAsia="微软雅黑" w:hAnsi="微软雅黑" w:cs="楷体_GB2312" w:hint="eastAsia"/>
          <w:sz w:val="22"/>
          <w:szCs w:val="22"/>
        </w:rPr>
        <w:t>20</w:t>
      </w:r>
      <w:r w:rsidRPr="00754F97">
        <w:rPr>
          <w:rFonts w:ascii="微软雅黑" w:eastAsia="微软雅黑" w:hAnsi="微软雅黑" w:cs="楷体_GB2312" w:hint="eastAsia"/>
          <w:sz w:val="22"/>
          <w:szCs w:val="22"/>
        </w:rPr>
        <w:t>日第六届全国人民代表大会常务委员会第十四次会议通过　根据</w:t>
      </w:r>
      <w:r w:rsidRPr="00754F97">
        <w:rPr>
          <w:rFonts w:ascii="微软雅黑" w:eastAsia="微软雅黑" w:hAnsi="微软雅黑" w:cs="楷体_GB2312" w:hint="eastAsia"/>
          <w:sz w:val="22"/>
          <w:szCs w:val="22"/>
        </w:rPr>
        <w:t>2000</w:t>
      </w:r>
      <w:r w:rsidRPr="00754F97">
        <w:rPr>
          <w:rFonts w:ascii="微软雅黑" w:eastAsia="微软雅黑" w:hAnsi="微软雅黑" w:cs="楷体_GB2312" w:hint="eastAsia"/>
          <w:sz w:val="22"/>
          <w:szCs w:val="22"/>
        </w:rPr>
        <w:t>年</w:t>
      </w:r>
      <w:r w:rsidRPr="00754F97">
        <w:rPr>
          <w:rFonts w:ascii="微软雅黑" w:eastAsia="微软雅黑" w:hAnsi="微软雅黑" w:cs="楷体_GB2312" w:hint="eastAsia"/>
          <w:sz w:val="22"/>
          <w:szCs w:val="22"/>
        </w:rPr>
        <w:t>10</w:t>
      </w:r>
      <w:r w:rsidRPr="00754F97">
        <w:rPr>
          <w:rFonts w:ascii="微软雅黑" w:eastAsia="微软雅黑" w:hAnsi="微软雅黑" w:cs="楷体_GB2312" w:hint="eastAsia"/>
          <w:sz w:val="22"/>
          <w:szCs w:val="22"/>
        </w:rPr>
        <w:t>月</w:t>
      </w:r>
      <w:r w:rsidRPr="00754F97">
        <w:rPr>
          <w:rFonts w:ascii="微软雅黑" w:eastAsia="微软雅黑" w:hAnsi="微软雅黑" w:cs="楷体_GB2312" w:hint="eastAsia"/>
          <w:sz w:val="22"/>
          <w:szCs w:val="22"/>
        </w:rPr>
        <w:t>31</w:t>
      </w:r>
      <w:r w:rsidRPr="00754F97">
        <w:rPr>
          <w:rFonts w:ascii="微软雅黑" w:eastAsia="微软雅黑" w:hAnsi="微软雅黑" w:cs="楷体_GB2312" w:hint="eastAsia"/>
          <w:sz w:val="22"/>
          <w:szCs w:val="22"/>
        </w:rPr>
        <w:t>日第九届全国人民代表大会常务委员会第十八次会议《关于修改</w:t>
      </w:r>
      <w:r w:rsidRPr="00754F97">
        <w:rPr>
          <w:rFonts w:ascii="微软雅黑" w:eastAsia="微软雅黑" w:hAnsi="微软雅黑" w:cs="楷体_GB2312" w:hint="eastAsia"/>
          <w:sz w:val="22"/>
          <w:szCs w:val="22"/>
        </w:rPr>
        <w:t>&lt;</w:t>
      </w:r>
      <w:r w:rsidRPr="00754F97">
        <w:rPr>
          <w:rFonts w:ascii="微软雅黑" w:eastAsia="微软雅黑" w:hAnsi="微软雅黑" w:cs="楷体_GB2312" w:hint="eastAsia"/>
          <w:sz w:val="22"/>
          <w:szCs w:val="22"/>
        </w:rPr>
        <w:t>中华人民共和国渔业法</w:t>
      </w:r>
      <w:r w:rsidRPr="00754F97">
        <w:rPr>
          <w:rFonts w:ascii="微软雅黑" w:eastAsia="微软雅黑" w:hAnsi="微软雅黑" w:cs="楷体_GB2312" w:hint="eastAsia"/>
          <w:sz w:val="22"/>
          <w:szCs w:val="22"/>
        </w:rPr>
        <w:t>&gt;</w:t>
      </w:r>
      <w:r w:rsidRPr="00754F97">
        <w:rPr>
          <w:rFonts w:ascii="微软雅黑" w:eastAsia="微软雅黑" w:hAnsi="微软雅黑" w:cs="楷体_GB2312" w:hint="eastAsia"/>
          <w:sz w:val="22"/>
          <w:szCs w:val="22"/>
        </w:rPr>
        <w:t>的决定》第一次修正　根据</w:t>
      </w:r>
      <w:r w:rsidRPr="00754F97">
        <w:rPr>
          <w:rFonts w:ascii="微软雅黑" w:eastAsia="微软雅黑" w:hAnsi="微软雅黑" w:cs="楷体_GB2312" w:hint="eastAsia"/>
          <w:sz w:val="22"/>
          <w:szCs w:val="22"/>
        </w:rPr>
        <w:t>2004</w:t>
      </w:r>
      <w:r w:rsidRPr="00754F97">
        <w:rPr>
          <w:rFonts w:ascii="微软雅黑" w:eastAsia="微软雅黑" w:hAnsi="微软雅黑" w:cs="楷体_GB2312" w:hint="eastAsia"/>
          <w:sz w:val="22"/>
          <w:szCs w:val="22"/>
        </w:rPr>
        <w:t>年</w:t>
      </w:r>
      <w:r w:rsidRPr="00754F97">
        <w:rPr>
          <w:rFonts w:ascii="微软雅黑" w:eastAsia="微软雅黑" w:hAnsi="微软雅黑" w:cs="楷体_GB2312" w:hint="eastAsia"/>
          <w:sz w:val="22"/>
          <w:szCs w:val="22"/>
        </w:rPr>
        <w:t>8</w:t>
      </w:r>
      <w:r w:rsidRPr="00754F97">
        <w:rPr>
          <w:rFonts w:ascii="微软雅黑" w:eastAsia="微软雅黑" w:hAnsi="微软雅黑" w:cs="楷体_GB2312" w:hint="eastAsia"/>
          <w:sz w:val="22"/>
          <w:szCs w:val="22"/>
        </w:rPr>
        <w:t>月</w:t>
      </w:r>
      <w:r w:rsidRPr="00754F97">
        <w:rPr>
          <w:rFonts w:ascii="微软雅黑" w:eastAsia="微软雅黑" w:hAnsi="微软雅黑" w:cs="楷体_GB2312" w:hint="eastAsia"/>
          <w:sz w:val="22"/>
          <w:szCs w:val="22"/>
        </w:rPr>
        <w:t>28</w:t>
      </w:r>
      <w:r w:rsidRPr="00754F97">
        <w:rPr>
          <w:rFonts w:ascii="微软雅黑" w:eastAsia="微软雅黑" w:hAnsi="微软雅黑" w:cs="楷体_GB2312" w:hint="eastAsia"/>
          <w:sz w:val="22"/>
          <w:szCs w:val="22"/>
        </w:rPr>
        <w:t>日第十届全国人民代表大会常务委员会第十一次会议《关于修改</w:t>
      </w:r>
      <w:r w:rsidRPr="00754F97">
        <w:rPr>
          <w:rFonts w:ascii="微软雅黑" w:eastAsia="微软雅黑" w:hAnsi="微软雅黑" w:cs="楷体_GB2312" w:hint="eastAsia"/>
          <w:sz w:val="22"/>
          <w:szCs w:val="22"/>
        </w:rPr>
        <w:t>&lt;</w:t>
      </w:r>
      <w:r w:rsidRPr="00754F97">
        <w:rPr>
          <w:rFonts w:ascii="微软雅黑" w:eastAsia="微软雅黑" w:hAnsi="微软雅黑" w:cs="楷体_GB2312" w:hint="eastAsia"/>
          <w:sz w:val="22"/>
          <w:szCs w:val="22"/>
        </w:rPr>
        <w:t>中华人民共和国渔业法</w:t>
      </w:r>
      <w:r w:rsidRPr="00754F97">
        <w:rPr>
          <w:rFonts w:ascii="微软雅黑" w:eastAsia="微软雅黑" w:hAnsi="微软雅黑" w:cs="楷体_GB2312" w:hint="eastAsia"/>
          <w:sz w:val="22"/>
          <w:szCs w:val="22"/>
        </w:rPr>
        <w:t>&gt;</w:t>
      </w:r>
      <w:r w:rsidRPr="00754F97">
        <w:rPr>
          <w:rFonts w:ascii="微软雅黑" w:eastAsia="微软雅黑" w:hAnsi="微软雅黑" w:cs="楷体_GB2312" w:hint="eastAsia"/>
          <w:sz w:val="22"/>
          <w:szCs w:val="22"/>
        </w:rPr>
        <w:t>的决定》第二次修正　根据</w:t>
      </w:r>
      <w:r w:rsidRPr="00754F97">
        <w:rPr>
          <w:rFonts w:ascii="微软雅黑" w:eastAsia="微软雅黑" w:hAnsi="微软雅黑" w:cs="楷体_GB2312" w:hint="eastAsia"/>
          <w:sz w:val="22"/>
          <w:szCs w:val="22"/>
        </w:rPr>
        <w:t>2009</w:t>
      </w:r>
      <w:r w:rsidRPr="00754F97">
        <w:rPr>
          <w:rFonts w:ascii="微软雅黑" w:eastAsia="微软雅黑" w:hAnsi="微软雅黑" w:cs="楷体_GB2312" w:hint="eastAsia"/>
          <w:sz w:val="22"/>
          <w:szCs w:val="22"/>
        </w:rPr>
        <w:t>年</w:t>
      </w:r>
      <w:r w:rsidRPr="00754F97">
        <w:rPr>
          <w:rFonts w:ascii="微软雅黑" w:eastAsia="微软雅黑" w:hAnsi="微软雅黑" w:cs="楷体_GB2312" w:hint="eastAsia"/>
          <w:sz w:val="22"/>
          <w:szCs w:val="22"/>
        </w:rPr>
        <w:t>8</w:t>
      </w:r>
      <w:r w:rsidRPr="00754F97">
        <w:rPr>
          <w:rFonts w:ascii="微软雅黑" w:eastAsia="微软雅黑" w:hAnsi="微软雅黑" w:cs="楷体_GB2312" w:hint="eastAsia"/>
          <w:sz w:val="22"/>
          <w:szCs w:val="22"/>
        </w:rPr>
        <w:t>月</w:t>
      </w:r>
      <w:r w:rsidRPr="00754F97">
        <w:rPr>
          <w:rFonts w:ascii="微软雅黑" w:eastAsia="微软雅黑" w:hAnsi="微软雅黑" w:cs="楷体_GB2312" w:hint="eastAsia"/>
          <w:sz w:val="22"/>
          <w:szCs w:val="22"/>
        </w:rPr>
        <w:t>27</w:t>
      </w:r>
      <w:r w:rsidRPr="00754F97">
        <w:rPr>
          <w:rFonts w:ascii="微软雅黑" w:eastAsia="微软雅黑" w:hAnsi="微软雅黑" w:cs="楷体_GB2312" w:hint="eastAsia"/>
          <w:sz w:val="22"/>
          <w:szCs w:val="22"/>
        </w:rPr>
        <w:t>日第十一届全国人民代表大会常务委员会第十次会议《关于修改部分法律的决定》第三次修正　根据</w:t>
      </w:r>
      <w:r w:rsidRPr="00754F97">
        <w:rPr>
          <w:rFonts w:ascii="微软雅黑" w:eastAsia="微软雅黑" w:hAnsi="微软雅黑" w:cs="楷体_GB2312" w:hint="eastAsia"/>
          <w:sz w:val="22"/>
          <w:szCs w:val="22"/>
        </w:rPr>
        <w:t>2013</w:t>
      </w:r>
      <w:r w:rsidRPr="00754F97">
        <w:rPr>
          <w:rFonts w:ascii="微软雅黑" w:eastAsia="微软雅黑" w:hAnsi="微软雅黑" w:cs="楷体_GB2312" w:hint="eastAsia"/>
          <w:sz w:val="22"/>
          <w:szCs w:val="22"/>
        </w:rPr>
        <w:t>年</w:t>
      </w:r>
      <w:r w:rsidRPr="00754F97">
        <w:rPr>
          <w:rFonts w:ascii="微软雅黑" w:eastAsia="微软雅黑" w:hAnsi="微软雅黑" w:cs="楷体_GB2312" w:hint="eastAsia"/>
          <w:sz w:val="22"/>
          <w:szCs w:val="22"/>
        </w:rPr>
        <w:t>12</w:t>
      </w:r>
      <w:r w:rsidRPr="00754F97">
        <w:rPr>
          <w:rFonts w:ascii="微软雅黑" w:eastAsia="微软雅黑" w:hAnsi="微软雅黑" w:cs="楷体_GB2312" w:hint="eastAsia"/>
          <w:sz w:val="22"/>
          <w:szCs w:val="22"/>
        </w:rPr>
        <w:t>月</w:t>
      </w:r>
      <w:r w:rsidRPr="00754F97">
        <w:rPr>
          <w:rFonts w:ascii="微软雅黑" w:eastAsia="微软雅黑" w:hAnsi="微软雅黑" w:cs="楷体_GB2312" w:hint="eastAsia"/>
          <w:sz w:val="22"/>
          <w:szCs w:val="22"/>
        </w:rPr>
        <w:t>28</w:t>
      </w:r>
      <w:r w:rsidRPr="00754F97">
        <w:rPr>
          <w:rFonts w:ascii="微软雅黑" w:eastAsia="微软雅黑" w:hAnsi="微软雅黑" w:cs="楷体_GB2312" w:hint="eastAsia"/>
          <w:sz w:val="22"/>
          <w:szCs w:val="22"/>
        </w:rPr>
        <w:t>日第十二届全国人民代表大会常务委员会第六次会议《关于修改</w:t>
      </w:r>
      <w:r w:rsidRPr="00754F97">
        <w:rPr>
          <w:rFonts w:ascii="微软雅黑" w:eastAsia="微软雅黑" w:hAnsi="微软雅黑" w:cs="楷体_GB2312" w:hint="eastAsia"/>
          <w:sz w:val="22"/>
          <w:szCs w:val="22"/>
        </w:rPr>
        <w:t>&lt;</w:t>
      </w:r>
      <w:r w:rsidRPr="00754F97">
        <w:rPr>
          <w:rFonts w:ascii="微软雅黑" w:eastAsia="微软雅黑" w:hAnsi="微软雅黑" w:cs="楷体_GB2312" w:hint="eastAsia"/>
          <w:sz w:val="22"/>
          <w:szCs w:val="22"/>
        </w:rPr>
        <w:t>中华人民共和国海洋环境保护法</w:t>
      </w:r>
      <w:r w:rsidRPr="00754F97">
        <w:rPr>
          <w:rFonts w:ascii="微软雅黑" w:eastAsia="微软雅黑" w:hAnsi="微软雅黑" w:cs="楷体_GB2312" w:hint="eastAsia"/>
          <w:sz w:val="22"/>
          <w:szCs w:val="22"/>
        </w:rPr>
        <w:t>&gt;</w:t>
      </w:r>
      <w:r w:rsidRPr="00754F97">
        <w:rPr>
          <w:rFonts w:ascii="微软雅黑" w:eastAsia="微软雅黑" w:hAnsi="微软雅黑" w:cs="楷体_GB2312" w:hint="eastAsia"/>
          <w:sz w:val="22"/>
          <w:szCs w:val="22"/>
        </w:rPr>
        <w:t>等七部法律的决定》第四次修正）</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jc w:val="center"/>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目　　录</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宋体" w:hint="eastAsia"/>
          <w:sz w:val="22"/>
          <w:szCs w:val="22"/>
        </w:rPr>
        <w:t xml:space="preserve">　　</w:t>
      </w:r>
      <w:r w:rsidRPr="00754F97">
        <w:rPr>
          <w:rFonts w:ascii="微软雅黑" w:eastAsia="微软雅黑" w:hAnsi="微软雅黑" w:cs="楷体_GB2312" w:hint="eastAsia"/>
          <w:sz w:val="22"/>
          <w:szCs w:val="22"/>
        </w:rPr>
        <w:t>第一章　总则</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第二章　养殖业</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第三章　捕捞业</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第四章　渔业资源的增殖和保护</w:t>
      </w:r>
    </w:p>
    <w:p w:rsidR="00DC73B7" w:rsidRPr="00754F97"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第五章　法律责任</w:t>
      </w:r>
    </w:p>
    <w:p w:rsidR="00DC73B7" w:rsidRPr="000E5B69" w:rsidRDefault="00152449" w:rsidP="00754F97">
      <w:pPr>
        <w:spacing w:line="240" w:lineRule="exact"/>
        <w:rPr>
          <w:rFonts w:ascii="微软雅黑" w:eastAsia="微软雅黑" w:hAnsi="微软雅黑" w:cs="楷体_GB2312"/>
          <w:sz w:val="22"/>
          <w:szCs w:val="22"/>
        </w:rPr>
      </w:pPr>
      <w:r w:rsidRPr="00754F97">
        <w:rPr>
          <w:rFonts w:ascii="微软雅黑" w:eastAsia="微软雅黑" w:hAnsi="微软雅黑" w:cs="楷体_GB2312" w:hint="eastAsia"/>
          <w:sz w:val="22"/>
          <w:szCs w:val="22"/>
        </w:rPr>
        <w:t xml:space="preserve">　　第六章　附则</w:t>
      </w:r>
    </w:p>
    <w:p w:rsidR="00DC73B7" w:rsidRPr="00754F97" w:rsidRDefault="00152449" w:rsidP="00754F97">
      <w:pPr>
        <w:spacing w:line="240" w:lineRule="exact"/>
        <w:jc w:val="center"/>
        <w:rPr>
          <w:rFonts w:ascii="微软雅黑" w:eastAsia="微软雅黑" w:hAnsi="微软雅黑" w:cs="楷体_GB2312"/>
          <w:sz w:val="22"/>
          <w:szCs w:val="22"/>
        </w:rPr>
      </w:pPr>
      <w:r w:rsidRPr="00754F97">
        <w:rPr>
          <w:rFonts w:ascii="微软雅黑" w:eastAsia="微软雅黑" w:hAnsi="微软雅黑" w:cs="黑体" w:hint="eastAsia"/>
          <w:sz w:val="22"/>
          <w:szCs w:val="22"/>
        </w:rPr>
        <w:t>第一章　总则</w:t>
      </w:r>
    </w:p>
    <w:p w:rsidR="00DC73B7" w:rsidRPr="00754F97" w:rsidRDefault="00DC73B7" w:rsidP="00754F97">
      <w:pPr>
        <w:spacing w:line="240" w:lineRule="exact"/>
        <w:rPr>
          <w:rFonts w:ascii="微软雅黑" w:eastAsia="微软雅黑" w:hAnsi="微软雅黑" w:cs="黑体"/>
          <w:sz w:val="22"/>
          <w:szCs w:val="22"/>
        </w:rPr>
      </w:pP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宋体" w:hint="eastAsia"/>
          <w:sz w:val="22"/>
          <w:szCs w:val="22"/>
        </w:rPr>
        <w:t xml:space="preserve">　　</w:t>
      </w:r>
      <w:r w:rsidRPr="00754F97">
        <w:rPr>
          <w:rFonts w:ascii="微软雅黑" w:eastAsia="微软雅黑" w:hAnsi="微软雅黑" w:cs="黑体" w:hint="eastAsia"/>
          <w:sz w:val="22"/>
          <w:szCs w:val="22"/>
        </w:rPr>
        <w:t>第一条</w:t>
      </w:r>
      <w:r w:rsidRPr="00754F97">
        <w:rPr>
          <w:rFonts w:ascii="微软雅黑" w:eastAsia="微软雅黑" w:hAnsi="微软雅黑" w:cs="仿宋_GB2312" w:hint="eastAsia"/>
          <w:sz w:val="22"/>
          <w:szCs w:val="22"/>
        </w:rPr>
        <w:t xml:space="preserve">　为了加强渔业资源的保护、增殖、开发和合理利用，发展人工养殖，保障渔业</w:t>
      </w:r>
      <w:r w:rsidRPr="00754F97">
        <w:rPr>
          <w:rFonts w:ascii="微软雅黑" w:eastAsia="微软雅黑" w:hAnsi="微软雅黑" w:cs="仿宋_GB2312" w:hint="eastAsia"/>
          <w:sz w:val="22"/>
          <w:szCs w:val="22"/>
        </w:rPr>
        <w:t>生产者的合法权益，促进渔业生产的发展，适应社会主义建设和人民生活的需要，特制定本法。</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在中华人民共和国的内水、滩涂、领海、专属经济区以及中华人民共和国管辖的一切其他海域从事养殖和捕捞水生动物、水生植物等渔业生产活动，都必须遵守本法。</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国家对渔业生产实行以养殖为主，养殖、捕捞、加工并举，因地制宜，各有侧重的方针。</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各级人民政府应当把渔业生产纳入国民经济发展计划，采取措施，加强水域的统一规划和综合利用。</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国家鼓励渔业科学技术研究，推广先进技术，提高渔业科学技术水平。</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第五</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在增殖和保护渔业资源、发展渔业生产、进行渔业科学技术研究等方面成绩显著的单位和个人，由各级人民政府给予精神的或者物质的奖励。</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第六</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国务院渔业行政主管部门主管全国的渔业工作。县级以上地方人民政府渔业行政主管部门主管本行政区域内的渔业工作。县级以上人民政府渔业行政主管部门可以在重要渔业水域、渔港设渔政监督管理机构。</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县级以上人民政府渔业行政主管部门及其所属的渔政监督管理机构可以设渔政检查人员。渔政检查人员执行渔业行政主管部门及其所属的渔政监督管理机构交付的任务。</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第七</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国家对渔业的监督管理，实行统一领导、分级管理。</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海洋渔业，除国务院划定由国务院渔业行政主管部门及其所属的渔政监督管理机构监督管理的海域和特定渔业资源渔场外，由毗邻海域的省、自治区、直辖市人民政府渔业行政主管部门监督管理。</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第八</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外国人、外国渔业船舶进入中华人民共和国管辖水域，从事</w:t>
      </w:r>
      <w:r w:rsidRPr="00754F97">
        <w:rPr>
          <w:rFonts w:ascii="微软雅黑" w:eastAsia="微软雅黑" w:hAnsi="微软雅黑" w:cs="仿宋_GB2312" w:hint="eastAsia"/>
          <w:sz w:val="22"/>
          <w:szCs w:val="22"/>
        </w:rPr>
        <w:t>渔业生产或者渔业资源调查活动，必须经国务院有关主管部门批准，并遵守本法和中华人民共和国其他有关法律、法规的规定；同中华人民共和国订有条约、协定的，按照条约、协定办理。</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国家渔政渔港监督管理机构对外行使渔政渔港监督管理权。</w:t>
      </w:r>
    </w:p>
    <w:p w:rsidR="00DC73B7" w:rsidRPr="000E5B69"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第九</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渔业行政主管部门和其所属的渔政监督管理机构及其工作人员不得参与和从事渔业生产经营活动。</w:t>
      </w:r>
    </w:p>
    <w:p w:rsidR="00DC73B7" w:rsidRPr="00754F97" w:rsidRDefault="00152449" w:rsidP="00754F97">
      <w:pPr>
        <w:spacing w:line="240" w:lineRule="exact"/>
        <w:jc w:val="center"/>
        <w:rPr>
          <w:rFonts w:ascii="微软雅黑" w:eastAsia="微软雅黑" w:hAnsi="微软雅黑" w:cs="黑体"/>
          <w:sz w:val="22"/>
          <w:szCs w:val="22"/>
        </w:rPr>
      </w:pPr>
      <w:r w:rsidRPr="00754F97">
        <w:rPr>
          <w:rFonts w:ascii="微软雅黑" w:eastAsia="微软雅黑" w:hAnsi="微软雅黑" w:cs="黑体" w:hint="eastAsia"/>
          <w:sz w:val="22"/>
          <w:szCs w:val="22"/>
        </w:rPr>
        <w:t>第二章　养殖业</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国家鼓励全民所有制单位、集体所有制单位和个人充分利用适于养殖的水域、滩涂，发展养殖业。</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第十一</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国家对水域利用进行统一规划，确定可以用于养殖业的水域</w:t>
      </w:r>
      <w:r w:rsidRPr="00754F97">
        <w:rPr>
          <w:rFonts w:ascii="微软雅黑" w:eastAsia="微软雅黑" w:hAnsi="微软雅黑" w:cs="仿宋_GB2312" w:hint="eastAsia"/>
          <w:sz w:val="22"/>
          <w:szCs w:val="22"/>
        </w:rPr>
        <w:t>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rsidR="00DC73B7" w:rsidRPr="00754F97" w:rsidRDefault="000E5B69" w:rsidP="00754F97">
      <w:pPr>
        <w:spacing w:line="240" w:lineRule="exact"/>
        <w:rPr>
          <w:rFonts w:ascii="微软雅黑" w:eastAsia="微软雅黑" w:hAnsi="微软雅黑" w:cs="仿宋_GB2312"/>
          <w:sz w:val="22"/>
          <w:szCs w:val="22"/>
        </w:rPr>
      </w:pPr>
      <w:r>
        <w:rPr>
          <w:rFonts w:ascii="微软雅黑" w:eastAsia="微软雅黑" w:hAnsi="微软雅黑" w:cs="仿宋_GB2312" w:hint="eastAsia"/>
          <w:sz w:val="22"/>
          <w:szCs w:val="22"/>
        </w:rPr>
        <w:t xml:space="preserve">　　集体所有的或全民所有由农业集体经济组织使用的水域、滩涂，可</w:t>
      </w:r>
      <w:r w:rsidR="00152449" w:rsidRPr="00754F97">
        <w:rPr>
          <w:rFonts w:ascii="微软雅黑" w:eastAsia="微软雅黑" w:hAnsi="微软雅黑" w:cs="仿宋_GB2312" w:hint="eastAsia"/>
          <w:sz w:val="22"/>
          <w:szCs w:val="22"/>
        </w:rPr>
        <w:t>由个人或者集体承包，从事养殖生产。</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第十二</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县级以上地方人民政府在核发养殖证时，应当优先安排当地的渔业生产者。</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第十三</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当事人因使用国家规划确定用于养殖业的水域、滩涂从事养殖生产发生争议的，按照有关法律规定的</w:t>
      </w:r>
      <w:r w:rsidRPr="00754F97">
        <w:rPr>
          <w:rFonts w:ascii="微软雅黑" w:eastAsia="微软雅黑" w:hAnsi="微软雅黑" w:cs="仿宋_GB2312" w:hint="eastAsia"/>
          <w:sz w:val="22"/>
          <w:szCs w:val="22"/>
        </w:rPr>
        <w:t>程序处理。在争议解决以前，任何一方不得破坏养殖生产。</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第十四</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国家建设征用集体所有的水域、滩涂，按照《中华人民共和国土地管理法》有关征地的规定办理。</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第十五</w:t>
      </w:r>
      <w:r w:rsidRPr="00754F97">
        <w:rPr>
          <w:rFonts w:ascii="微软雅黑" w:eastAsia="微软雅黑" w:hAnsi="微软雅黑" w:cs="仿宋_GB2312" w:hint="eastAsia"/>
          <w:sz w:val="22"/>
          <w:szCs w:val="22"/>
        </w:rPr>
        <w:t>条</w:t>
      </w:r>
      <w:r w:rsidR="000E5B69">
        <w:rPr>
          <w:rFonts w:ascii="微软雅黑" w:eastAsia="微软雅黑" w:hAnsi="微软雅黑" w:cs="仿宋_GB2312" w:hint="eastAsia"/>
          <w:sz w:val="22"/>
          <w:szCs w:val="22"/>
        </w:rPr>
        <w:t xml:space="preserve">　县级以上地方人民政府应</w:t>
      </w:r>
      <w:r w:rsidRPr="00754F97">
        <w:rPr>
          <w:rFonts w:ascii="微软雅黑" w:eastAsia="微软雅黑" w:hAnsi="微软雅黑" w:cs="仿宋_GB2312" w:hint="eastAsia"/>
          <w:sz w:val="22"/>
          <w:szCs w:val="22"/>
        </w:rPr>
        <w:t>采取措施，加强对商品鱼生产基地和城市郊区重要养殖水域的保护。</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第十六</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国家鼓励和支持水产优良品种的选育、培育和推广。水产新品种必须经全国水产原种和良种</w:t>
      </w:r>
      <w:r w:rsidRPr="00754F97">
        <w:rPr>
          <w:rFonts w:ascii="微软雅黑" w:eastAsia="微软雅黑" w:hAnsi="微软雅黑" w:cs="仿宋_GB2312" w:hint="eastAsia"/>
          <w:sz w:val="22"/>
          <w:szCs w:val="22"/>
        </w:rPr>
        <w:lastRenderedPageBreak/>
        <w:t>审定委员会审定，由国务院渔业行政主管部门公告后推广。</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水产苗种的进口、出口由国务院渔业行政主管部门或者省、自治区、直辖市人民政府渔业行政主管部门审批。</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水产苗种的生产由县级以上地方人民政府渔业行政主管部门审批。但是，渔业生产者自育、自用水产苗种的除外。</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第十七</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水产苗种的进口、出口必须实施检疫，防止病害传入境内和传出境外，具体检疫工作按照有关动植物进出境检疫法律、行政法规的规定执行。</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引进转基因水产苗种必须进行安全性评价，具体管理工作按照国务院有关规定执行。</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第十八</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县级以上人民政府渔业行政主管部门应当加强对养殖生产的技术指导和病害防治工作。</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第十九</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从事养殖生产不得使用含有毒有害物质的饵料、饲料。</w:t>
      </w:r>
    </w:p>
    <w:p w:rsidR="00DC73B7" w:rsidRPr="003506F3"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从事养殖生产应当</w:t>
      </w:r>
      <w:r w:rsidRPr="00754F97">
        <w:rPr>
          <w:rFonts w:ascii="微软雅黑" w:eastAsia="微软雅黑" w:hAnsi="微软雅黑" w:cs="仿宋_GB2312" w:hint="eastAsia"/>
          <w:sz w:val="22"/>
          <w:szCs w:val="22"/>
        </w:rPr>
        <w:t>保护水域生态环境，科学确定养殖密度，合理投饵、施肥、使用药物，不得造成水域的环境污染。</w:t>
      </w:r>
    </w:p>
    <w:p w:rsidR="00DC73B7" w:rsidRPr="00754F97" w:rsidRDefault="00152449" w:rsidP="00754F97">
      <w:pPr>
        <w:spacing w:line="240" w:lineRule="exact"/>
        <w:jc w:val="center"/>
        <w:rPr>
          <w:rFonts w:ascii="微软雅黑" w:eastAsia="微软雅黑" w:hAnsi="微软雅黑" w:cs="黑体"/>
          <w:sz w:val="22"/>
          <w:szCs w:val="22"/>
        </w:rPr>
      </w:pPr>
      <w:r w:rsidRPr="00754F97">
        <w:rPr>
          <w:rFonts w:ascii="微软雅黑" w:eastAsia="微软雅黑" w:hAnsi="微软雅黑" w:cs="黑体" w:hint="eastAsia"/>
          <w:sz w:val="22"/>
          <w:szCs w:val="22"/>
        </w:rPr>
        <w:t>第三章　捕捞业</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第二十一</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国家在财政、信贷和税收等方面采取措施，鼓励、扶持远洋捕捞业的发展，并根据渔业资源的可捕捞量，安排内水和近海捕捞力量。</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第二十二</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根据捕捞量低于渔业资源增长量的原则，确定渔业资源的总可捕捞量，实行捕捞限额制度。国务院渔业行政主管部门负责组织渔业资源的调查和评估，为实行捕捞限额制度提供科学依据。中华人民共和国内海、领海、专属经济区和其他管辖海域的捕捞限额总量由国务院渔业行政主管部门确定，报国务院批准后逐级分解下达；国家确定的重要江河、湖泊的捕捞限额总量由有关省、自治区、直辖市人民政府确定或者协商确定，逐级分解下达。捕捞限额总量的分配应当体现公平、公正的原则，分配办法和分配结果必须向社会公开，并接受监督。</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国务院渔业行政主管部门</w:t>
      </w:r>
      <w:r w:rsidRPr="00754F97">
        <w:rPr>
          <w:rFonts w:ascii="微软雅黑" w:eastAsia="微软雅黑" w:hAnsi="微软雅黑" w:cs="仿宋_GB2312" w:hint="eastAsia"/>
          <w:sz w:val="22"/>
          <w:szCs w:val="22"/>
        </w:rPr>
        <w:t>和省、自治区、直辖市人民政府渔业行政主管部门应当加强对捕捞限额制度实施情况的监督检查，对超过上级下达的捕捞限额指标的，应当在其次年捕捞限额指标中予以核减。</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第二十三</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国家对捕捞业实行捕捞许可证制度。</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w:t>
      </w:r>
      <w:r w:rsidRPr="00754F97">
        <w:rPr>
          <w:rFonts w:ascii="微软雅黑" w:eastAsia="微软雅黑" w:hAnsi="微软雅黑" w:cs="仿宋_GB2312" w:hint="eastAsia"/>
          <w:sz w:val="22"/>
          <w:szCs w:val="22"/>
        </w:rPr>
        <w:t>作业的捕捞许可证不得超过国家下达的船网工具控制指标，具体办法由省、自治区、直辖市人民政府规定。</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捕捞许可证不得买卖、出租和以其他形式转让，不得涂改、伪造、变造。</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到他国管辖海域从事捕捞作业的，应当经国务院渔业行政主管部门批准，并遵守中华人民共和国缔结的或者参加的有关条约、协定和有关国家的法律。</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第二十四</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具备下列条件的，方可发给捕捞许可证</w:t>
      </w:r>
      <w:r w:rsidRPr="00754F97">
        <w:rPr>
          <w:rFonts w:ascii="微软雅黑" w:eastAsia="微软雅黑" w:hAnsi="微软雅黑" w:cs="仿宋_GB2312" w:hint="eastAsia"/>
          <w:sz w:val="22"/>
          <w:szCs w:val="22"/>
        </w:rPr>
        <w:t>:</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（一）有渔业船舶检验证书；</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（二）有渔业船舶登记证书；</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（三）符合国务院渔业行政主管部门规定的其他条件。</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县级以上地方人民政府渔业行政主管</w:t>
      </w:r>
      <w:r w:rsidRPr="00754F97">
        <w:rPr>
          <w:rFonts w:ascii="微软雅黑" w:eastAsia="微软雅黑" w:hAnsi="微软雅黑" w:cs="仿宋_GB2312" w:hint="eastAsia"/>
          <w:sz w:val="22"/>
          <w:szCs w:val="22"/>
        </w:rPr>
        <w:t>部门批准发放的捕捞许可证，应当与上级人民政府渔业行政主管部门下达的捕捞限额指标相适应。</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第二十五</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从事捕捞作业的单位和个人，必须按照捕捞许可证关于作业类型、场所、时限、渔具数量和捕捞限额的规定进行作业，并遵守国家有关保护渔业资源的规定，大中型渔船应当填写渔捞日志。</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第二十六</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制造、更新改造、购置、进口的从事捕捞作业的船舶必须经渔业船舶检验部门检验合格后，方可下水作业。具体管理办法由国务院规定。</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第二十七</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渔港建设应当遵守国家的统一规划，实行谁投资谁受益的原则。县级以上地方人民政府应当对位于本行政区域内的渔港加强监督管理，维护渔港的正常秩序。</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jc w:val="center"/>
        <w:rPr>
          <w:rFonts w:ascii="微软雅黑" w:eastAsia="微软雅黑" w:hAnsi="微软雅黑" w:cs="黑体"/>
          <w:sz w:val="22"/>
          <w:szCs w:val="22"/>
        </w:rPr>
      </w:pPr>
      <w:r w:rsidRPr="00754F97">
        <w:rPr>
          <w:rFonts w:ascii="微软雅黑" w:eastAsia="微软雅黑" w:hAnsi="微软雅黑" w:cs="黑体" w:hint="eastAsia"/>
          <w:sz w:val="22"/>
          <w:szCs w:val="22"/>
        </w:rPr>
        <w:t>第四章　渔业资源的增殖和保护</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第二十八</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第二十九</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国家保护水产种质资</w:t>
      </w:r>
      <w:r w:rsidRPr="00754F97">
        <w:rPr>
          <w:rFonts w:ascii="微软雅黑" w:eastAsia="微软雅黑" w:hAnsi="微软雅黑" w:cs="仿宋_GB2312" w:hint="eastAsia"/>
          <w:sz w:val="22"/>
          <w:szCs w:val="22"/>
        </w:rPr>
        <w:t>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重点保护的渔业资源品种及其可捕捞标准，禁渔区和禁渔期，禁</w:t>
      </w:r>
      <w:r w:rsidRPr="00754F97">
        <w:rPr>
          <w:rFonts w:ascii="微软雅黑" w:eastAsia="微软雅黑" w:hAnsi="微软雅黑" w:cs="仿宋_GB2312" w:hint="eastAsia"/>
          <w:sz w:val="22"/>
          <w:szCs w:val="22"/>
        </w:rPr>
        <w:t>止使用或者限制使用的渔具和捕捞方法，最小网目尺寸以及其他保护渔业资源的措施，由国务院渔业行政主管部门或者省、自治区、直辖市人民政府渔业行政主管部门规定。</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第三十一</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禁止捕捞有重要经济价值的水生动物苗种。因养殖或者其他特殊需要，捕捞有重要经济价值的苗种或者禁捕的怀卵亲体的，必须经国务院渔业行政主管部门或者省、自治区、直辖市人民政府渔业行</w:t>
      </w:r>
      <w:r w:rsidRPr="00754F97">
        <w:rPr>
          <w:rFonts w:ascii="微软雅黑" w:eastAsia="微软雅黑" w:hAnsi="微软雅黑" w:cs="仿宋_GB2312" w:hint="eastAsia"/>
          <w:sz w:val="22"/>
          <w:szCs w:val="22"/>
        </w:rPr>
        <w:lastRenderedPageBreak/>
        <w:t>政主管部门批准，在指定的区域和时间内，按照限额捕捞。</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在水生动物苗种重点产区引水用水时，应当采取措施，保护苗种。</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第三十二</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在鱼、虾、蟹洄游通道建闸、筑坝，对渔</w:t>
      </w:r>
      <w:r w:rsidRPr="00754F97">
        <w:rPr>
          <w:rFonts w:ascii="微软雅黑" w:eastAsia="微软雅黑" w:hAnsi="微软雅黑" w:cs="仿宋_GB2312" w:hint="eastAsia"/>
          <w:sz w:val="22"/>
          <w:szCs w:val="22"/>
        </w:rPr>
        <w:t>业资源有严重影响的，建设单位应当建造过鱼设施或者采取其他补救措施。</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第三十三</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用于渔业并兼有调蓄、灌溉等功能的水体，有关主管部门应当确定渔业生产所需的最低水位线。</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第三十四</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禁止围湖造田。沿海滩涂未经县级以上人民政府批准，不得围垦；重要的苗种基地和养殖场所不得围垦。</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第三十五</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进行水下爆破、勘探、施工作业，对渔业资源有严重影响的，作业单位应当事先同有关县级以上人民政府渔业行政主管部门协商，采取措施，防止或者减少对渔业资源的损害；造成渔业资源损失的，由有关县级以上人民政府责令赔偿。</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第三十六</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各级人民政府应当采取措施，保护和改善渔业水域的生态环境，防治污染。</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渔业水域生态环境的监督管理和渔业污染事故的调查处理，依照《中华人民共和国海洋环境保护法》和《中华人民共和国水污染防治法》的有关规定执行。</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第三十七</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国家对白鳍豚等珍贵、濒危水生野生动物实行重点保护，防止其灭绝。禁止捕杀、伤害国家重点保护的水生野生动物。因科学研究、驯养繁殖、展览或者其他特殊情况，需要捕捞国家重点保护的水生野生动物的，依照《中华人民共和国野生动物保护法》的规定执行。</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jc w:val="center"/>
        <w:rPr>
          <w:rFonts w:ascii="微软雅黑" w:eastAsia="微软雅黑" w:hAnsi="微软雅黑" w:cs="黑体"/>
          <w:sz w:val="22"/>
          <w:szCs w:val="22"/>
        </w:rPr>
      </w:pPr>
      <w:r w:rsidRPr="00754F97">
        <w:rPr>
          <w:rFonts w:ascii="微软雅黑" w:eastAsia="微软雅黑" w:hAnsi="微软雅黑" w:cs="黑体" w:hint="eastAsia"/>
          <w:sz w:val="22"/>
          <w:szCs w:val="22"/>
        </w:rPr>
        <w:t>第五章　法律责任</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第三十八</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w:t>
      </w:r>
      <w:r w:rsidRPr="00754F97">
        <w:rPr>
          <w:rFonts w:ascii="微软雅黑" w:eastAsia="微软雅黑" w:hAnsi="微软雅黑" w:cs="仿宋_GB2312" w:hint="eastAsia"/>
          <w:sz w:val="22"/>
          <w:szCs w:val="22"/>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在禁渔区或者禁渔期内销售非法捕捞的渔获物的，县级以上地方人民政府渔业行政主管部门应当及时进行调查处理。</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制造、销售禁用的渔具的，没收非法制造、销售的渔具和违法所得，并处一万元以下的罚款。</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第三十九</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偷捕、抢夺他人养殖的水产品的，或者破坏他人养殖水体、养殖设施的，责令改正，可以处二万元以下的罚款；造成他人损失的，依法承担赔偿责任；构成犯罪的，依法追究刑事责任。</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使用全民所有的水域、滩涂从事养殖生产，无正当理由使水域、滩涂荒芜满一年的，由发放养殖证的机关责令限期开发利用；逾期未开发利用的，吊销养殖证，可以并处一万元以下的罚款。</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未依法取得养殖证擅自在全民所有的水域从事养殖生产的，责令改</w:t>
      </w:r>
      <w:r w:rsidRPr="00754F97">
        <w:rPr>
          <w:rFonts w:ascii="微软雅黑" w:eastAsia="微软雅黑" w:hAnsi="微软雅黑" w:cs="仿宋_GB2312" w:hint="eastAsia"/>
          <w:sz w:val="22"/>
          <w:szCs w:val="22"/>
        </w:rPr>
        <w:t>正，补办养殖证或者限期拆除养殖设施。</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未依法取得养殖证或者超越养殖证许可范围在全民所有的水域从事养殖生产，妨碍航运、行洪的，责令限期拆除养殖设施，可以并处一万元以下的罚款。</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第四十一</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未依法取得捕捞许可证擅自进行捕捞的，没收渔获物和违法所得，并处十万元以下的罚款；情节严重的，并可以没收渔具和渔船。</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第四十二</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违反捕捞许可证关于作业类型、场所、时限和渔具数量的规定进行捕捞的，没收渔获物和违法所得，可以并处五万元以下的罚款；情节严重的，并可以没收渔具，吊销捕捞许可证。</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第四十三</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涂改、买卖</w:t>
      </w:r>
      <w:r w:rsidRPr="00754F97">
        <w:rPr>
          <w:rFonts w:ascii="微软雅黑" w:eastAsia="微软雅黑" w:hAnsi="微软雅黑" w:cs="仿宋_GB2312" w:hint="eastAsia"/>
          <w:sz w:val="22"/>
          <w:szCs w:val="22"/>
        </w:rPr>
        <w:t>、出租或者以其他形式转让捕捞许可证的，没收违法所得，吊销捕捞许可证，可以并处一万元以下的罚款；伪造、变造、买卖捕捞许可证，构成犯罪的，依法追究刑事责任。</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第四十四</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非法生产、进口、出口水产苗种的，没收苗种和违法所得，并处五万元以下的罚款。</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经营未经审定的水产苗种的，责令立即停止经营，没收违法所得，可以并处五万元以下的罚款。</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第四十五</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未经批准在水产种质资源保护区内从事捕捞活动的，责令立即停止捕捞，没收渔获物和渔具，可以并处一万元以下的罚款。</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第四十六</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外国人、外国渔船违反本法规定，擅自</w:t>
      </w:r>
      <w:r w:rsidRPr="00754F97">
        <w:rPr>
          <w:rFonts w:ascii="微软雅黑" w:eastAsia="微软雅黑" w:hAnsi="微软雅黑" w:cs="仿宋_GB2312" w:hint="eastAsia"/>
          <w:sz w:val="22"/>
          <w:szCs w:val="22"/>
        </w:rPr>
        <w:t>进入中华人民共和国管辖水域从事渔业生产和渔业资源调查活动的，责令其离开或者将其驱逐，可以没收渔获物、渔具，并处五十万元以下的罚款；情节严重的，可以没收渔船；构成犯罪的，依法追究刑事责任。</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第四十七</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造成渔业水域生态环境破坏或者渔业污染事故的，依照《中华人民共和国海洋环境保护法》和《中华人民共和国水污染防治法》的规定追究法律责任。</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第四十八</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本法规定的行政处罚，由县级以上人民政府渔业行政主管部门或者其所属的渔政监督管理机构决定。但是，本法已对处罚机关作出规定的除外。</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在海上执法时，对违反禁渔区</w:t>
      </w:r>
      <w:r w:rsidRPr="00754F97">
        <w:rPr>
          <w:rFonts w:ascii="微软雅黑" w:eastAsia="微软雅黑" w:hAnsi="微软雅黑" w:cs="仿宋_GB2312" w:hint="eastAsia"/>
          <w:sz w:val="22"/>
          <w:szCs w:val="22"/>
        </w:rPr>
        <w:t>、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第四十九</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jc w:val="center"/>
        <w:rPr>
          <w:rFonts w:ascii="微软雅黑" w:eastAsia="微软雅黑" w:hAnsi="微软雅黑" w:cs="黑体"/>
          <w:sz w:val="22"/>
          <w:szCs w:val="22"/>
        </w:rPr>
      </w:pPr>
      <w:r w:rsidRPr="00754F97">
        <w:rPr>
          <w:rFonts w:ascii="微软雅黑" w:eastAsia="微软雅黑" w:hAnsi="微软雅黑" w:cs="黑体" w:hint="eastAsia"/>
          <w:sz w:val="22"/>
          <w:szCs w:val="22"/>
        </w:rPr>
        <w:t>第六章　附则</w:t>
      </w:r>
    </w:p>
    <w:p w:rsidR="00DC73B7" w:rsidRPr="00754F97" w:rsidRDefault="00DC73B7" w:rsidP="00754F97">
      <w:pPr>
        <w:spacing w:line="240" w:lineRule="exact"/>
        <w:rPr>
          <w:rFonts w:ascii="微软雅黑" w:eastAsia="微软雅黑" w:hAnsi="微软雅黑" w:cs="宋体"/>
          <w:sz w:val="22"/>
          <w:szCs w:val="22"/>
        </w:rPr>
      </w:pPr>
    </w:p>
    <w:p w:rsidR="00DC73B7" w:rsidRPr="00754F97" w:rsidRDefault="00152449" w:rsidP="00754F97">
      <w:pPr>
        <w:spacing w:line="240" w:lineRule="exact"/>
        <w:rPr>
          <w:rFonts w:ascii="微软雅黑" w:eastAsia="微软雅黑" w:hAnsi="微软雅黑" w:cs="仿宋_GB2312"/>
          <w:sz w:val="22"/>
          <w:szCs w:val="22"/>
        </w:rPr>
      </w:pPr>
      <w:r w:rsidRPr="00754F97">
        <w:rPr>
          <w:rFonts w:ascii="微软雅黑" w:eastAsia="微软雅黑" w:hAnsi="微软雅黑" w:cs="仿宋_GB2312" w:hint="eastAsia"/>
          <w:sz w:val="22"/>
          <w:szCs w:val="22"/>
        </w:rPr>
        <w:t xml:space="preserve">　　</w:t>
      </w:r>
      <w:r w:rsidRPr="00754F97">
        <w:rPr>
          <w:rFonts w:ascii="微软雅黑" w:eastAsia="微软雅黑" w:hAnsi="微软雅黑" w:cs="黑体" w:hint="eastAsia"/>
          <w:sz w:val="22"/>
          <w:szCs w:val="22"/>
        </w:rPr>
        <w:t>第五十</w:t>
      </w:r>
      <w:r w:rsidRPr="00754F97">
        <w:rPr>
          <w:rFonts w:ascii="微软雅黑" w:eastAsia="微软雅黑" w:hAnsi="微软雅黑" w:cs="仿宋_GB2312" w:hint="eastAsia"/>
          <w:sz w:val="22"/>
          <w:szCs w:val="22"/>
        </w:rPr>
        <w:t>条</w:t>
      </w:r>
      <w:r w:rsidRPr="00754F97">
        <w:rPr>
          <w:rFonts w:ascii="微软雅黑" w:eastAsia="微软雅黑" w:hAnsi="微软雅黑" w:cs="仿宋_GB2312" w:hint="eastAsia"/>
          <w:sz w:val="22"/>
          <w:szCs w:val="22"/>
        </w:rPr>
        <w:t xml:space="preserve">　本法自</w:t>
      </w:r>
      <w:r w:rsidRPr="00754F97">
        <w:rPr>
          <w:rFonts w:ascii="微软雅黑" w:eastAsia="微软雅黑" w:hAnsi="微软雅黑" w:cs="仿宋_GB2312" w:hint="eastAsia"/>
          <w:sz w:val="22"/>
          <w:szCs w:val="22"/>
        </w:rPr>
        <w:t>1986</w:t>
      </w:r>
      <w:r w:rsidRPr="00754F97">
        <w:rPr>
          <w:rFonts w:ascii="微软雅黑" w:eastAsia="微软雅黑" w:hAnsi="微软雅黑" w:cs="仿宋_GB2312" w:hint="eastAsia"/>
          <w:sz w:val="22"/>
          <w:szCs w:val="22"/>
        </w:rPr>
        <w:t>年</w:t>
      </w:r>
      <w:r w:rsidRPr="00754F97">
        <w:rPr>
          <w:rFonts w:ascii="微软雅黑" w:eastAsia="微软雅黑" w:hAnsi="微软雅黑" w:cs="仿宋_GB2312" w:hint="eastAsia"/>
          <w:sz w:val="22"/>
          <w:szCs w:val="22"/>
        </w:rPr>
        <w:t>7</w:t>
      </w:r>
      <w:r w:rsidRPr="00754F97">
        <w:rPr>
          <w:rFonts w:ascii="微软雅黑" w:eastAsia="微软雅黑" w:hAnsi="微软雅黑" w:cs="仿宋_GB2312" w:hint="eastAsia"/>
          <w:sz w:val="22"/>
          <w:szCs w:val="22"/>
        </w:rPr>
        <w:t>月</w:t>
      </w:r>
      <w:r w:rsidRPr="00754F97">
        <w:rPr>
          <w:rFonts w:ascii="微软雅黑" w:eastAsia="微软雅黑" w:hAnsi="微软雅黑" w:cs="仿宋_GB2312" w:hint="eastAsia"/>
          <w:sz w:val="22"/>
          <w:szCs w:val="22"/>
        </w:rPr>
        <w:t>1</w:t>
      </w:r>
      <w:r w:rsidRPr="00754F97">
        <w:rPr>
          <w:rFonts w:ascii="微软雅黑" w:eastAsia="微软雅黑" w:hAnsi="微软雅黑" w:cs="仿宋_GB2312" w:hint="eastAsia"/>
          <w:sz w:val="22"/>
          <w:szCs w:val="22"/>
        </w:rPr>
        <w:t>日起施行。</w:t>
      </w:r>
    </w:p>
    <w:sectPr w:rsidR="00DC73B7" w:rsidRPr="00754F97" w:rsidSect="00754F9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449" w:rsidRDefault="00152449" w:rsidP="00DC73B7">
      <w:r>
        <w:separator/>
      </w:r>
    </w:p>
  </w:endnote>
  <w:endnote w:type="continuationSeparator" w:id="0">
    <w:p w:rsidR="00152449" w:rsidRDefault="00152449" w:rsidP="00DC7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B7" w:rsidRDefault="00DC73B7">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C73B7" w:rsidRDefault="00152449">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C73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73B7">
                  <w:rPr>
                    <w:rFonts w:ascii="宋体" w:eastAsia="宋体" w:hAnsi="宋体" w:cs="宋体" w:hint="eastAsia"/>
                    <w:sz w:val="28"/>
                    <w:szCs w:val="28"/>
                  </w:rPr>
                  <w:fldChar w:fldCharType="separate"/>
                </w:r>
                <w:r w:rsidR="00754F97">
                  <w:rPr>
                    <w:rFonts w:ascii="宋体" w:eastAsia="宋体" w:hAnsi="宋体" w:cs="宋体"/>
                    <w:noProof/>
                    <w:sz w:val="28"/>
                    <w:szCs w:val="28"/>
                  </w:rPr>
                  <w:t>4</w:t>
                </w:r>
                <w:r w:rsidR="00DC73B7">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B7" w:rsidRDefault="00DC73B7">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C73B7" w:rsidRDefault="0015244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C73B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C73B7">
                  <w:rPr>
                    <w:rFonts w:ascii="宋体" w:eastAsia="宋体" w:hAnsi="宋体" w:cs="宋体" w:hint="eastAsia"/>
                    <w:sz w:val="28"/>
                    <w:szCs w:val="28"/>
                  </w:rPr>
                  <w:fldChar w:fldCharType="separate"/>
                </w:r>
                <w:r w:rsidR="000E5B69">
                  <w:rPr>
                    <w:rFonts w:ascii="宋体" w:eastAsia="宋体" w:hAnsi="宋体" w:cs="宋体"/>
                    <w:noProof/>
                    <w:sz w:val="28"/>
                    <w:szCs w:val="28"/>
                  </w:rPr>
                  <w:t>2</w:t>
                </w:r>
                <w:r w:rsidR="00DC73B7">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449" w:rsidRDefault="00152449" w:rsidP="00DC73B7">
      <w:r>
        <w:separator/>
      </w:r>
    </w:p>
  </w:footnote>
  <w:footnote w:type="continuationSeparator" w:id="0">
    <w:p w:rsidR="00152449" w:rsidRDefault="00152449" w:rsidP="00DC7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B7" w:rsidRDefault="00DC73B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B7" w:rsidRDefault="00DC73B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50CC"/>
    <w:rsid w:val="000778B0"/>
    <w:rsid w:val="000803E8"/>
    <w:rsid w:val="000E5B69"/>
    <w:rsid w:val="000E7366"/>
    <w:rsid w:val="001033D0"/>
    <w:rsid w:val="00125D8F"/>
    <w:rsid w:val="00130DFD"/>
    <w:rsid w:val="00152449"/>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506F3"/>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54F97"/>
    <w:rsid w:val="0079691A"/>
    <w:rsid w:val="00831E9A"/>
    <w:rsid w:val="008A5502"/>
    <w:rsid w:val="008D5D88"/>
    <w:rsid w:val="008F69CD"/>
    <w:rsid w:val="00900D1F"/>
    <w:rsid w:val="00902FF2"/>
    <w:rsid w:val="009857B2"/>
    <w:rsid w:val="00996A63"/>
    <w:rsid w:val="009D7B72"/>
    <w:rsid w:val="009E6421"/>
    <w:rsid w:val="009E6A54"/>
    <w:rsid w:val="00A10630"/>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C73B7"/>
    <w:rsid w:val="00DD0B8B"/>
    <w:rsid w:val="00E235DD"/>
    <w:rsid w:val="00E64956"/>
    <w:rsid w:val="00EE4F6D"/>
    <w:rsid w:val="00F00D39"/>
    <w:rsid w:val="00FA3C68"/>
    <w:rsid w:val="00FC68C1"/>
    <w:rsid w:val="0114612A"/>
    <w:rsid w:val="05791921"/>
    <w:rsid w:val="06505F15"/>
    <w:rsid w:val="08210A6D"/>
    <w:rsid w:val="0B115E15"/>
    <w:rsid w:val="0B957AC8"/>
    <w:rsid w:val="0C4A0C32"/>
    <w:rsid w:val="0C4E6F56"/>
    <w:rsid w:val="0CA9360A"/>
    <w:rsid w:val="0D2F2A95"/>
    <w:rsid w:val="13897E98"/>
    <w:rsid w:val="15995A00"/>
    <w:rsid w:val="18BE58F5"/>
    <w:rsid w:val="19F86B68"/>
    <w:rsid w:val="19FC1879"/>
    <w:rsid w:val="1A0E37B6"/>
    <w:rsid w:val="24D82782"/>
    <w:rsid w:val="24FA630D"/>
    <w:rsid w:val="29B02F2E"/>
    <w:rsid w:val="2A145EFC"/>
    <w:rsid w:val="2AA5267B"/>
    <w:rsid w:val="2E5001DC"/>
    <w:rsid w:val="2E994720"/>
    <w:rsid w:val="2F7753E6"/>
    <w:rsid w:val="3258761C"/>
    <w:rsid w:val="36A02196"/>
    <w:rsid w:val="3A5D56A7"/>
    <w:rsid w:val="3D1A1B85"/>
    <w:rsid w:val="40C32ACC"/>
    <w:rsid w:val="41E6440D"/>
    <w:rsid w:val="44BC0EEC"/>
    <w:rsid w:val="47692B37"/>
    <w:rsid w:val="482A39F4"/>
    <w:rsid w:val="49C77146"/>
    <w:rsid w:val="4B4B7A2E"/>
    <w:rsid w:val="4C0419F1"/>
    <w:rsid w:val="50136C36"/>
    <w:rsid w:val="532B71C6"/>
    <w:rsid w:val="56755F92"/>
    <w:rsid w:val="59D0424A"/>
    <w:rsid w:val="5C094B1A"/>
    <w:rsid w:val="5FA875EF"/>
    <w:rsid w:val="62663FCF"/>
    <w:rsid w:val="63AC1DAA"/>
    <w:rsid w:val="6501697A"/>
    <w:rsid w:val="653A70E2"/>
    <w:rsid w:val="69FD024B"/>
    <w:rsid w:val="6C1E17DE"/>
    <w:rsid w:val="6C6D0995"/>
    <w:rsid w:val="6F556051"/>
    <w:rsid w:val="702C5F51"/>
    <w:rsid w:val="70B32443"/>
    <w:rsid w:val="710841D5"/>
    <w:rsid w:val="72406E3D"/>
    <w:rsid w:val="72B21701"/>
    <w:rsid w:val="741052E8"/>
    <w:rsid w:val="7B4B5D0A"/>
    <w:rsid w:val="7CF35360"/>
    <w:rsid w:val="7D3D0CCB"/>
    <w:rsid w:val="7D686817"/>
    <w:rsid w:val="7DD71DE2"/>
    <w:rsid w:val="7DE561F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73B7"/>
    <w:pPr>
      <w:widowControl w:val="0"/>
      <w:jc w:val="both"/>
    </w:pPr>
    <w:rPr>
      <w:rFonts w:eastAsia="仿宋_GB2312"/>
      <w:kern w:val="2"/>
      <w:sz w:val="32"/>
      <w:szCs w:val="24"/>
    </w:rPr>
  </w:style>
  <w:style w:type="paragraph" w:styleId="1">
    <w:name w:val="heading 1"/>
    <w:basedOn w:val="a"/>
    <w:next w:val="a"/>
    <w:link w:val="1Char"/>
    <w:qFormat/>
    <w:rsid w:val="00DC73B7"/>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DC73B7"/>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DC73B7"/>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C73B7"/>
    <w:pPr>
      <w:shd w:val="clear" w:color="auto" w:fill="000080"/>
    </w:pPr>
  </w:style>
  <w:style w:type="paragraph" w:styleId="a4">
    <w:name w:val="Plain Text"/>
    <w:basedOn w:val="a"/>
    <w:link w:val="Char"/>
    <w:uiPriority w:val="99"/>
    <w:unhideWhenUsed/>
    <w:qFormat/>
    <w:rsid w:val="00DC73B7"/>
    <w:rPr>
      <w:rFonts w:ascii="宋体" w:eastAsia="宋体" w:hAnsi="Courier New"/>
      <w:sz w:val="21"/>
      <w:szCs w:val="21"/>
      <w:lang/>
    </w:rPr>
  </w:style>
  <w:style w:type="paragraph" w:styleId="a5">
    <w:name w:val="Balloon Text"/>
    <w:basedOn w:val="a"/>
    <w:semiHidden/>
    <w:qFormat/>
    <w:rsid w:val="00DC73B7"/>
    <w:rPr>
      <w:sz w:val="18"/>
      <w:szCs w:val="18"/>
    </w:rPr>
  </w:style>
  <w:style w:type="paragraph" w:styleId="a6">
    <w:name w:val="footer"/>
    <w:basedOn w:val="a"/>
    <w:link w:val="Char0"/>
    <w:uiPriority w:val="99"/>
    <w:qFormat/>
    <w:rsid w:val="00DC73B7"/>
    <w:pPr>
      <w:tabs>
        <w:tab w:val="center" w:pos="4153"/>
        <w:tab w:val="right" w:pos="8306"/>
      </w:tabs>
      <w:snapToGrid w:val="0"/>
      <w:jc w:val="left"/>
    </w:pPr>
    <w:rPr>
      <w:sz w:val="18"/>
      <w:szCs w:val="18"/>
      <w:lang/>
    </w:rPr>
  </w:style>
  <w:style w:type="paragraph" w:styleId="a7">
    <w:name w:val="header"/>
    <w:basedOn w:val="a"/>
    <w:link w:val="Char1"/>
    <w:uiPriority w:val="99"/>
    <w:qFormat/>
    <w:rsid w:val="00DC73B7"/>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DC73B7"/>
  </w:style>
  <w:style w:type="paragraph" w:styleId="a8">
    <w:name w:val="Subtitle"/>
    <w:basedOn w:val="a"/>
    <w:next w:val="a"/>
    <w:link w:val="Char2"/>
    <w:qFormat/>
    <w:rsid w:val="00DC73B7"/>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DC73B7"/>
    <w:pPr>
      <w:ind w:leftChars="200" w:left="420"/>
    </w:pPr>
  </w:style>
  <w:style w:type="paragraph" w:styleId="a9">
    <w:name w:val="Title"/>
    <w:basedOn w:val="a"/>
    <w:next w:val="a"/>
    <w:link w:val="Char3"/>
    <w:qFormat/>
    <w:rsid w:val="00DC73B7"/>
    <w:pPr>
      <w:spacing w:before="240" w:after="60"/>
      <w:jc w:val="center"/>
      <w:outlineLvl w:val="0"/>
    </w:pPr>
    <w:rPr>
      <w:rFonts w:ascii="Cambria" w:eastAsia="宋体" w:hAnsi="Cambria"/>
      <w:b/>
      <w:bCs/>
      <w:szCs w:val="32"/>
      <w:lang/>
    </w:rPr>
  </w:style>
  <w:style w:type="character" w:styleId="aa">
    <w:name w:val="Strong"/>
    <w:qFormat/>
    <w:rsid w:val="00DC73B7"/>
    <w:rPr>
      <w:b/>
      <w:bCs/>
    </w:rPr>
  </w:style>
  <w:style w:type="character" w:styleId="ab">
    <w:name w:val="page number"/>
    <w:basedOn w:val="a0"/>
    <w:qFormat/>
    <w:rsid w:val="00DC73B7"/>
  </w:style>
  <w:style w:type="character" w:styleId="ac">
    <w:name w:val="FollowedHyperlink"/>
    <w:qFormat/>
    <w:rsid w:val="00DC73B7"/>
    <w:rPr>
      <w:color w:val="800080"/>
      <w:u w:val="single"/>
    </w:rPr>
  </w:style>
  <w:style w:type="character" w:styleId="ad">
    <w:name w:val="Emphasis"/>
    <w:qFormat/>
    <w:rsid w:val="00DC73B7"/>
    <w:rPr>
      <w:i/>
      <w:iCs/>
    </w:rPr>
  </w:style>
  <w:style w:type="character" w:styleId="ae">
    <w:name w:val="Hyperlink"/>
    <w:uiPriority w:val="99"/>
    <w:qFormat/>
    <w:rsid w:val="00DC73B7"/>
    <w:rPr>
      <w:rFonts w:ascii="ˎ̥" w:hAnsi="ˎ̥" w:hint="default"/>
      <w:color w:val="0404B3"/>
      <w:sz w:val="18"/>
      <w:szCs w:val="18"/>
      <w:u w:val="none"/>
    </w:rPr>
  </w:style>
  <w:style w:type="table" w:styleId="af">
    <w:name w:val="Table Grid"/>
    <w:basedOn w:val="a1"/>
    <w:qFormat/>
    <w:rsid w:val="00DC73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_Style 20"/>
    <w:basedOn w:val="1"/>
    <w:next w:val="a"/>
    <w:uiPriority w:val="39"/>
    <w:qFormat/>
    <w:rsid w:val="00DC73B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C73B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C73B7"/>
    <w:rPr>
      <w:rFonts w:eastAsia="仿宋_GB2312"/>
      <w:kern w:val="2"/>
      <w:sz w:val="18"/>
      <w:szCs w:val="18"/>
    </w:rPr>
  </w:style>
  <w:style w:type="character" w:customStyle="1" w:styleId="Char">
    <w:name w:val="纯文本 Char"/>
    <w:link w:val="a4"/>
    <w:uiPriority w:val="99"/>
    <w:qFormat/>
    <w:rsid w:val="00DC73B7"/>
    <w:rPr>
      <w:rFonts w:ascii="宋体" w:hAnsi="Courier New" w:cs="Courier New"/>
      <w:kern w:val="2"/>
      <w:sz w:val="21"/>
      <w:szCs w:val="21"/>
    </w:rPr>
  </w:style>
  <w:style w:type="character" w:customStyle="1" w:styleId="Char10">
    <w:name w:val="纯文本 Char1"/>
    <w:qFormat/>
    <w:rsid w:val="00DC73B7"/>
    <w:rPr>
      <w:rFonts w:ascii="宋体" w:hAnsi="Courier New" w:cs="Courier New"/>
      <w:kern w:val="2"/>
      <w:sz w:val="21"/>
      <w:szCs w:val="21"/>
    </w:rPr>
  </w:style>
  <w:style w:type="character" w:customStyle="1" w:styleId="Char2">
    <w:name w:val="副标题 Char"/>
    <w:link w:val="a8"/>
    <w:qFormat/>
    <w:rsid w:val="00DC73B7"/>
    <w:rPr>
      <w:rFonts w:ascii="Cambria" w:hAnsi="Cambria" w:cs="Times New Roman"/>
      <w:b/>
      <w:bCs/>
      <w:kern w:val="28"/>
      <w:sz w:val="32"/>
      <w:szCs w:val="32"/>
    </w:rPr>
  </w:style>
  <w:style w:type="character" w:customStyle="1" w:styleId="1Char">
    <w:name w:val="标题 1 Char"/>
    <w:link w:val="1"/>
    <w:qFormat/>
    <w:rsid w:val="00DC73B7"/>
    <w:rPr>
      <w:rFonts w:eastAsia="仿宋_GB2312"/>
      <w:b/>
      <w:bCs/>
      <w:kern w:val="44"/>
      <w:sz w:val="44"/>
      <w:szCs w:val="44"/>
    </w:rPr>
  </w:style>
  <w:style w:type="character" w:customStyle="1" w:styleId="Char3">
    <w:name w:val="标题 Char"/>
    <w:link w:val="a9"/>
    <w:qFormat/>
    <w:rsid w:val="00DC73B7"/>
    <w:rPr>
      <w:rFonts w:ascii="Cambria" w:hAnsi="Cambria" w:cs="Times New Roman"/>
      <w:b/>
      <w:bCs/>
      <w:kern w:val="2"/>
      <w:sz w:val="32"/>
      <w:szCs w:val="32"/>
    </w:rPr>
  </w:style>
  <w:style w:type="character" w:customStyle="1" w:styleId="11Char">
    <w:name w:val="1.1 Char"/>
    <w:link w:val="11"/>
    <w:qFormat/>
    <w:rsid w:val="00DC73B7"/>
    <w:rPr>
      <w:rFonts w:ascii="Calibri" w:hAnsi="Calibri"/>
      <w:b/>
      <w:bCs/>
      <w:kern w:val="2"/>
      <w:sz w:val="30"/>
      <w:szCs w:val="32"/>
    </w:rPr>
  </w:style>
  <w:style w:type="character" w:customStyle="1" w:styleId="3Char">
    <w:name w:val="标题 3 Char"/>
    <w:link w:val="3"/>
    <w:semiHidden/>
    <w:qFormat/>
    <w:rsid w:val="00DC73B7"/>
    <w:rPr>
      <w:rFonts w:eastAsia="仿宋_GB2312"/>
      <w:b/>
      <w:bCs/>
      <w:kern w:val="2"/>
      <w:sz w:val="32"/>
      <w:szCs w:val="32"/>
    </w:rPr>
  </w:style>
  <w:style w:type="character" w:customStyle="1" w:styleId="2Char">
    <w:name w:val="标题 2 Char"/>
    <w:link w:val="2"/>
    <w:uiPriority w:val="9"/>
    <w:qFormat/>
    <w:rsid w:val="00DC73B7"/>
    <w:rPr>
      <w:rFonts w:ascii="Cambria" w:hAnsi="Cambria"/>
      <w:b/>
      <w:bCs/>
      <w:kern w:val="2"/>
      <w:sz w:val="32"/>
      <w:szCs w:val="32"/>
    </w:rPr>
  </w:style>
  <w:style w:type="character" w:customStyle="1" w:styleId="Char0">
    <w:name w:val="页脚 Char"/>
    <w:link w:val="a6"/>
    <w:uiPriority w:val="99"/>
    <w:qFormat/>
    <w:rsid w:val="00DC73B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909</Words>
  <Characters>5182</Characters>
  <Application>Microsoft Office Word</Application>
  <DocSecurity>0</DocSecurity>
  <Lines>43</Lines>
  <Paragraphs>12</Paragraphs>
  <ScaleCrop>false</ScaleCrop>
  <Company>Lenovo</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2023-10-23T06:10:00Z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