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C619CD" w:rsidP="00C619CD">
      <w:pPr>
        <w:spacing w:line="500" w:lineRule="exact"/>
        <w:jc w:val="center"/>
        <w:rPr>
          <w:rFonts w:ascii="微软雅黑" w:eastAsia="微软雅黑" w:hAnsi="微软雅黑" w:cs="宋体"/>
          <w:b/>
          <w:color w:val="FF0000"/>
          <w:sz w:val="40"/>
          <w:szCs w:val="40"/>
        </w:rPr>
      </w:pPr>
      <w:r w:rsidRPr="00C619CD">
        <w:rPr>
          <w:rFonts w:ascii="微软雅黑" w:eastAsia="微软雅黑" w:hAnsi="微软雅黑" w:cs="宋体" w:hint="eastAsia"/>
          <w:b/>
          <w:color w:val="FF0000"/>
          <w:sz w:val="40"/>
          <w:szCs w:val="40"/>
        </w:rPr>
        <w:t>《</w:t>
      </w:r>
      <w:r w:rsidR="00E21C57" w:rsidRPr="00C619CD">
        <w:rPr>
          <w:rFonts w:ascii="微软雅黑" w:eastAsia="微软雅黑" w:hAnsi="微软雅黑" w:cs="宋体" w:hint="eastAsia"/>
          <w:b/>
          <w:color w:val="FF0000"/>
          <w:sz w:val="40"/>
          <w:szCs w:val="40"/>
        </w:rPr>
        <w:t>中华人民共和国矿产资源法</w:t>
      </w:r>
      <w:r w:rsidRPr="00C619CD">
        <w:rPr>
          <w:rFonts w:ascii="微软雅黑" w:eastAsia="微软雅黑" w:hAnsi="微软雅黑" w:cs="宋体" w:hint="eastAsia"/>
          <w:b/>
          <w:color w:val="FF0000"/>
          <w:sz w:val="40"/>
          <w:szCs w:val="40"/>
        </w:rPr>
        <w:t>》</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ind w:leftChars="200" w:left="640" w:rightChars="200" w:right="640"/>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w:t>
      </w:r>
      <w:r w:rsidRPr="00C619CD">
        <w:rPr>
          <w:rFonts w:ascii="微软雅黑" w:eastAsia="微软雅黑" w:hAnsi="微软雅黑" w:cs="楷体_GB2312" w:hint="eastAsia"/>
          <w:sz w:val="22"/>
          <w:szCs w:val="22"/>
        </w:rPr>
        <w:t>1986</w:t>
      </w:r>
      <w:r w:rsidRPr="00C619CD">
        <w:rPr>
          <w:rFonts w:ascii="微软雅黑" w:eastAsia="微软雅黑" w:hAnsi="微软雅黑" w:cs="楷体_GB2312" w:hint="eastAsia"/>
          <w:sz w:val="22"/>
          <w:szCs w:val="22"/>
        </w:rPr>
        <w:t>年</w:t>
      </w:r>
      <w:r w:rsidRPr="00C619CD">
        <w:rPr>
          <w:rFonts w:ascii="微软雅黑" w:eastAsia="微软雅黑" w:hAnsi="微软雅黑" w:cs="楷体_GB2312" w:hint="eastAsia"/>
          <w:sz w:val="22"/>
          <w:szCs w:val="22"/>
        </w:rPr>
        <w:t>3</w:t>
      </w:r>
      <w:r w:rsidRPr="00C619CD">
        <w:rPr>
          <w:rFonts w:ascii="微软雅黑" w:eastAsia="微软雅黑" w:hAnsi="微软雅黑" w:cs="楷体_GB2312" w:hint="eastAsia"/>
          <w:sz w:val="22"/>
          <w:szCs w:val="22"/>
        </w:rPr>
        <w:t>月</w:t>
      </w:r>
      <w:r w:rsidRPr="00C619CD">
        <w:rPr>
          <w:rFonts w:ascii="微软雅黑" w:eastAsia="微软雅黑" w:hAnsi="微软雅黑" w:cs="楷体_GB2312" w:hint="eastAsia"/>
          <w:sz w:val="22"/>
          <w:szCs w:val="22"/>
        </w:rPr>
        <w:t>19</w:t>
      </w:r>
      <w:r w:rsidRPr="00C619CD">
        <w:rPr>
          <w:rFonts w:ascii="微软雅黑" w:eastAsia="微软雅黑" w:hAnsi="微软雅黑" w:cs="楷体_GB2312" w:hint="eastAsia"/>
          <w:sz w:val="22"/>
          <w:szCs w:val="22"/>
        </w:rPr>
        <w:t>日第六届全国人民代表大会常务委员会第十五次会议通过　根据</w:t>
      </w:r>
      <w:r w:rsidRPr="00C619CD">
        <w:rPr>
          <w:rFonts w:ascii="微软雅黑" w:eastAsia="微软雅黑" w:hAnsi="微软雅黑" w:cs="楷体_GB2312" w:hint="eastAsia"/>
          <w:sz w:val="22"/>
          <w:szCs w:val="22"/>
        </w:rPr>
        <w:t>1996</w:t>
      </w:r>
      <w:r w:rsidRPr="00C619CD">
        <w:rPr>
          <w:rFonts w:ascii="微软雅黑" w:eastAsia="微软雅黑" w:hAnsi="微软雅黑" w:cs="楷体_GB2312" w:hint="eastAsia"/>
          <w:sz w:val="22"/>
          <w:szCs w:val="22"/>
        </w:rPr>
        <w:t>年</w:t>
      </w:r>
      <w:r w:rsidRPr="00C619CD">
        <w:rPr>
          <w:rFonts w:ascii="微软雅黑" w:eastAsia="微软雅黑" w:hAnsi="微软雅黑" w:cs="楷体_GB2312" w:hint="eastAsia"/>
          <w:sz w:val="22"/>
          <w:szCs w:val="22"/>
        </w:rPr>
        <w:t>8</w:t>
      </w:r>
      <w:r w:rsidRPr="00C619CD">
        <w:rPr>
          <w:rFonts w:ascii="微软雅黑" w:eastAsia="微软雅黑" w:hAnsi="微软雅黑" w:cs="楷体_GB2312" w:hint="eastAsia"/>
          <w:sz w:val="22"/>
          <w:szCs w:val="22"/>
        </w:rPr>
        <w:t>月</w:t>
      </w:r>
      <w:r w:rsidRPr="00C619CD">
        <w:rPr>
          <w:rFonts w:ascii="微软雅黑" w:eastAsia="微软雅黑" w:hAnsi="微软雅黑" w:cs="楷体_GB2312" w:hint="eastAsia"/>
          <w:sz w:val="22"/>
          <w:szCs w:val="22"/>
        </w:rPr>
        <w:t>29</w:t>
      </w:r>
      <w:r w:rsidRPr="00C619CD">
        <w:rPr>
          <w:rFonts w:ascii="微软雅黑" w:eastAsia="微软雅黑" w:hAnsi="微软雅黑" w:cs="楷体_GB2312" w:hint="eastAsia"/>
          <w:sz w:val="22"/>
          <w:szCs w:val="22"/>
        </w:rPr>
        <w:t>日第八届全国人民代表大会常务委员会第二十一次会议《关于修改</w:t>
      </w:r>
      <w:r w:rsidRPr="00C619CD">
        <w:rPr>
          <w:rFonts w:ascii="微软雅黑" w:eastAsia="微软雅黑" w:hAnsi="微软雅黑" w:cs="楷体_GB2312" w:hint="eastAsia"/>
          <w:sz w:val="22"/>
          <w:szCs w:val="22"/>
        </w:rPr>
        <w:t>&lt;</w:t>
      </w:r>
      <w:r w:rsidRPr="00C619CD">
        <w:rPr>
          <w:rFonts w:ascii="微软雅黑" w:eastAsia="微软雅黑" w:hAnsi="微软雅黑" w:cs="楷体_GB2312" w:hint="eastAsia"/>
          <w:sz w:val="22"/>
          <w:szCs w:val="22"/>
        </w:rPr>
        <w:t>中华人民共和国矿产资源法</w:t>
      </w:r>
      <w:r w:rsidRPr="00C619CD">
        <w:rPr>
          <w:rFonts w:ascii="微软雅黑" w:eastAsia="微软雅黑" w:hAnsi="微软雅黑" w:cs="楷体_GB2312" w:hint="eastAsia"/>
          <w:sz w:val="22"/>
          <w:szCs w:val="22"/>
        </w:rPr>
        <w:t>&gt;</w:t>
      </w:r>
      <w:r w:rsidRPr="00C619CD">
        <w:rPr>
          <w:rFonts w:ascii="微软雅黑" w:eastAsia="微软雅黑" w:hAnsi="微软雅黑" w:cs="楷体_GB2312" w:hint="eastAsia"/>
          <w:sz w:val="22"/>
          <w:szCs w:val="22"/>
        </w:rPr>
        <w:t>的决定》第一次修正　根据</w:t>
      </w:r>
      <w:r w:rsidRPr="00C619CD">
        <w:rPr>
          <w:rFonts w:ascii="微软雅黑" w:eastAsia="微软雅黑" w:hAnsi="微软雅黑" w:cs="楷体_GB2312" w:hint="eastAsia"/>
          <w:sz w:val="22"/>
          <w:szCs w:val="22"/>
        </w:rPr>
        <w:t>2009</w:t>
      </w:r>
      <w:r w:rsidRPr="00C619CD">
        <w:rPr>
          <w:rFonts w:ascii="微软雅黑" w:eastAsia="微软雅黑" w:hAnsi="微软雅黑" w:cs="楷体_GB2312" w:hint="eastAsia"/>
          <w:sz w:val="22"/>
          <w:szCs w:val="22"/>
        </w:rPr>
        <w:t>年</w:t>
      </w:r>
      <w:r w:rsidRPr="00C619CD">
        <w:rPr>
          <w:rFonts w:ascii="微软雅黑" w:eastAsia="微软雅黑" w:hAnsi="微软雅黑" w:cs="楷体_GB2312" w:hint="eastAsia"/>
          <w:sz w:val="22"/>
          <w:szCs w:val="22"/>
        </w:rPr>
        <w:t>8</w:t>
      </w:r>
      <w:r w:rsidRPr="00C619CD">
        <w:rPr>
          <w:rFonts w:ascii="微软雅黑" w:eastAsia="微软雅黑" w:hAnsi="微软雅黑" w:cs="楷体_GB2312" w:hint="eastAsia"/>
          <w:sz w:val="22"/>
          <w:szCs w:val="22"/>
        </w:rPr>
        <w:t>月</w:t>
      </w:r>
      <w:r w:rsidRPr="00C619CD">
        <w:rPr>
          <w:rFonts w:ascii="微软雅黑" w:eastAsia="微软雅黑" w:hAnsi="微软雅黑" w:cs="楷体_GB2312" w:hint="eastAsia"/>
          <w:sz w:val="22"/>
          <w:szCs w:val="22"/>
        </w:rPr>
        <w:t>27</w:t>
      </w:r>
      <w:r w:rsidRPr="00C619CD">
        <w:rPr>
          <w:rFonts w:ascii="微软雅黑" w:eastAsia="微软雅黑" w:hAnsi="微软雅黑" w:cs="楷体_GB2312" w:hint="eastAsia"/>
          <w:sz w:val="22"/>
          <w:szCs w:val="22"/>
        </w:rPr>
        <w:t>日第十一届全国人民代表大会常务委员会第十次会议《关于修改部分法律的决定》第二次修正）</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目　　录</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第一章　总则</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第二章　矿产资源勘查的登记和开采的审批</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第三章　矿产资源的勘查</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第四章　矿产资源的开采</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第五章　集体矿山企业和个体采矿</w:t>
      </w:r>
    </w:p>
    <w:p w:rsidR="00CA6DE6" w:rsidRPr="00C619CD" w:rsidRDefault="00E21C57" w:rsidP="00C619CD">
      <w:pPr>
        <w:spacing w:line="240" w:lineRule="exact"/>
        <w:rPr>
          <w:rFonts w:ascii="微软雅黑" w:eastAsia="微软雅黑" w:hAnsi="微软雅黑" w:cs="楷体_GB2312"/>
          <w:sz w:val="22"/>
          <w:szCs w:val="22"/>
        </w:rPr>
      </w:pPr>
      <w:r w:rsidRPr="00C619CD">
        <w:rPr>
          <w:rFonts w:ascii="微软雅黑" w:eastAsia="微软雅黑" w:hAnsi="微软雅黑" w:cs="楷体_GB2312" w:hint="eastAsia"/>
          <w:sz w:val="22"/>
          <w:szCs w:val="22"/>
        </w:rPr>
        <w:t xml:space="preserve">　　第六章　法律责任</w:t>
      </w:r>
    </w:p>
    <w:p w:rsidR="00CA6DE6" w:rsidRPr="00C619CD" w:rsidRDefault="00E21C57" w:rsidP="00C619CD">
      <w:pPr>
        <w:spacing w:line="240" w:lineRule="exact"/>
        <w:rPr>
          <w:rFonts w:ascii="微软雅黑" w:eastAsia="微软雅黑" w:hAnsi="微软雅黑" w:cs="宋体"/>
          <w:sz w:val="22"/>
          <w:szCs w:val="22"/>
        </w:rPr>
      </w:pPr>
      <w:r w:rsidRPr="00C619CD">
        <w:rPr>
          <w:rFonts w:ascii="微软雅黑" w:eastAsia="微软雅黑" w:hAnsi="微软雅黑" w:cs="楷体_GB2312" w:hint="eastAsia"/>
          <w:sz w:val="22"/>
          <w:szCs w:val="22"/>
        </w:rPr>
        <w:t xml:space="preserve">　　第七章　附则</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第一章　总则</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宋体" w:hint="eastAsia"/>
          <w:sz w:val="22"/>
          <w:szCs w:val="22"/>
        </w:rPr>
        <w:t xml:space="preserve">　　</w:t>
      </w:r>
      <w:r w:rsidRPr="00C619CD">
        <w:rPr>
          <w:rFonts w:ascii="微软雅黑" w:eastAsia="微软雅黑" w:hAnsi="微软雅黑" w:cs="黑体" w:hint="eastAsia"/>
          <w:sz w:val="22"/>
          <w:szCs w:val="22"/>
        </w:rPr>
        <w:t>第一</w:t>
      </w:r>
      <w:r w:rsidRPr="00C619CD">
        <w:rPr>
          <w:rFonts w:ascii="微软雅黑" w:eastAsia="微软雅黑" w:hAnsi="微软雅黑" w:cs="宋体" w:hint="eastAsia"/>
          <w:sz w:val="22"/>
          <w:szCs w:val="22"/>
        </w:rPr>
        <w:t>条</w:t>
      </w:r>
      <w:r w:rsidRPr="00C619CD">
        <w:rPr>
          <w:rFonts w:ascii="微软雅黑" w:eastAsia="微软雅黑" w:hAnsi="微软雅黑" w:cs="宋体" w:hint="eastAsia"/>
          <w:sz w:val="22"/>
          <w:szCs w:val="22"/>
        </w:rPr>
        <w:t xml:space="preserve">　</w:t>
      </w:r>
      <w:r w:rsidRPr="00C619CD">
        <w:rPr>
          <w:rFonts w:ascii="微软雅黑" w:eastAsia="微软雅黑" w:hAnsi="微软雅黑" w:cs="仿宋_GB2312" w:hint="eastAsia"/>
          <w:sz w:val="22"/>
          <w:szCs w:val="22"/>
        </w:rPr>
        <w:t>为了发展矿业，加强矿产资源的勘查、开发利用和保护工作，保障社会主义现代化建设的当前和长远的需要，根据中华人民共和国宪法，特制定本法。</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在中华人民共和国领域及管辖海域勘查、开采矿产资源，必须遵守本法。</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矿产资源属于国家所有，由国务院行使国家对矿产资源的所有权。地表或者地下的矿产资源的国家所有权，不因其所依附的土地的所有权或者使用权的不同而改变。</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国家保障矿产资源的合理开发利用。禁止任何组织或者个人用任何手段侵占或者破坏矿产资源。各级人民政府必须加强矿产资源的保护工作。</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w:t>
      </w:r>
      <w:r w:rsidRPr="00C619CD">
        <w:rPr>
          <w:rFonts w:ascii="微软雅黑" w:eastAsia="微软雅黑" w:hAnsi="微软雅黑" w:cs="仿宋_GB2312" w:hint="eastAsia"/>
          <w:sz w:val="22"/>
          <w:szCs w:val="22"/>
        </w:rPr>
        <w:t>作秩序不受影响和破坏。</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从事矿产资源勘查和开采的，必须符合规定的资质条件。</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黑体" w:hint="eastAsia"/>
          <w:sz w:val="22"/>
          <w:szCs w:val="22"/>
        </w:rPr>
        <w:t xml:space="preserve">　　第四</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国家保障依法设立的矿山企业开采矿产资源的合法权益。</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国有矿山企业是开采矿产资源的主体。国家保障国有矿业经济的巩固和发展。</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第五</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国家实行探矿权、采矿权有偿取得的制度；但是，国家对探矿权、采矿权有偿取得的费用，可以根据不同情况规定予以减缴、免缴。具体办法和实施步骤由国务院规定。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开采矿产资源，必须按照国家有关规定缴纳资源税和资源补偿费。</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第六</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除按下列规定可以转让外，探矿权、采矿权不得转让：</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（一）探矿权人有权在划定的勘查作业区内进行规定的勘查作业，有权优先取得勘查作业区内矿产资源的采矿权。探矿权人在完成规定的最低勘查投入后，经依法批准，可以将探矿权转让他人。</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（二）已取得采矿权的矿山企业，因企业合并、分立，与他人合资、合作经营，或者因企业资产出售以及有其他变更企业资产产权的情形而需要变更采矿权主体的，经依法批准可以将采矿权转让他人采矿。</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前款规定的具体办法和实施步骤由国务院规定。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禁止将探矿权、采矿权倒卖牟利。</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第七</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国家对矿产资源的勘查、开发实行统一规划、合理布局、综合</w:t>
      </w:r>
      <w:r w:rsidRPr="00C619CD">
        <w:rPr>
          <w:rFonts w:ascii="微软雅黑" w:eastAsia="微软雅黑" w:hAnsi="微软雅黑" w:cs="仿宋_GB2312" w:hint="eastAsia"/>
          <w:sz w:val="22"/>
          <w:szCs w:val="22"/>
        </w:rPr>
        <w:t>勘查、合理开采和综合利用的方针。</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第八</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国家鼓励矿产资源勘查、开发的科学技术研究，推广先进技术，提高矿产资源勘查、开发的科学技术水平。</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第九</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在勘查、开发、保护矿产资源和进行科学技术研究等方面成绩显著的单位和个人，由各级人民政府给予奖励。</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国家在民族自治地方开采矿产资源，应当照顾民族自治地方的利益，作出有利于民族自治地方经济建设的安排，照顾当地少数民族群众的生产和生活。</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民族自治地方的自治机关根据法律规定和国家的统一规划，对可以由本地方开发的矿产资源，优先合理开发利用。</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w:t>
      </w:r>
      <w:r w:rsidRPr="00C619CD">
        <w:rPr>
          <w:rFonts w:ascii="微软雅黑" w:eastAsia="微软雅黑" w:hAnsi="微软雅黑" w:cs="黑体" w:hint="eastAsia"/>
          <w:sz w:val="22"/>
          <w:szCs w:val="22"/>
        </w:rPr>
        <w:t>一</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国务院地质矿产主管部门主管全国矿产资源勘查、开采的监督管理工作。国务院有关主管部门协助国务院地质矿产主管部门进行矿产资源勘查、开采的监督管理工作。</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省、自治区、直辖市人民政府地质矿产主管部门主管本行政区域内矿产资源勘查、开采的监督管理工作。省、自治区、直辖市人民政府有关主管部门协助同级地质矿产主管部门进行矿产资源勘查、开采的监督管理工作。</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第二章　矿产资源勘查的登记和开采的审批</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国家对矿产资源勘查实行统一的区块登记管理制度。矿产资源勘查登记工作，由国务院地质</w:t>
      </w:r>
      <w:r w:rsidRPr="00C619CD">
        <w:rPr>
          <w:rFonts w:ascii="微软雅黑" w:eastAsia="微软雅黑" w:hAnsi="微软雅黑" w:cs="仿宋_GB2312" w:hint="eastAsia"/>
          <w:sz w:val="22"/>
          <w:szCs w:val="22"/>
        </w:rPr>
        <w:lastRenderedPageBreak/>
        <w:t>矿产主管部门负责；特定</w:t>
      </w:r>
      <w:r w:rsidRPr="00C619CD">
        <w:rPr>
          <w:rFonts w:ascii="微软雅黑" w:eastAsia="微软雅黑" w:hAnsi="微软雅黑" w:cs="仿宋_GB2312" w:hint="eastAsia"/>
          <w:sz w:val="22"/>
          <w:szCs w:val="22"/>
        </w:rPr>
        <w:t>矿种的矿产资源勘查登记工作，可以由国务院授权有关主管部门负责。矿产资源勘查区块登记管理办法由国务院制定。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国务院矿产储量审批机构或者省、自治区、直辖市矿产储量审批机构负责审查批准供矿山建设设计使用的勘探报告，并在规定的期限内批复报送单位。勘探报告未经批准，不得作为矿山建设设计的依据。</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第十四</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矿产资源勘查成果档案资料和各类矿产储量的统计资料，实行统一的管理制度，按照国务院规定汇交或者填报。</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第十五</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设立矿山企业，必须符合国家规定的资质条件，并依照法律和国家有关规定，由审批机关对其矿区范围、矿山设计或者开采方案、生产技术条件、安全措施和环境保护措施等进行审查；审查合格的，方予批准。</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第十六</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开采下列矿产资源的，由国务院地质矿产主管部门审批，并颁发采矿许可证：</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（一）国家规划矿区和对国民经济具有重要价值的矿区内的矿产资源；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（二）前项规定区域以外可供开采的矿产储量规模在大型以上的矿产资源；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（三）国家规定实行保护性开采的特定矿种；</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（四）领海及中国管辖的其他海域的矿产资源；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（五）国务院规定的其他矿产资源。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开采石油、天然气、放射性矿产等特定矿种的，可以由国务院授权的有关主管部门审批，并颁发采矿许可证。</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开采第一款、第二款规定以外的矿产资源，其可供开采的矿产的储量规模为中型的，由省、自治区、直辖市人民政府地质矿产主管部门审批和颁发采矿许可证。</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bookmarkStart w:id="0" w:name="_GoBack"/>
      <w:bookmarkEnd w:id="0"/>
      <w:r w:rsidRPr="00C619CD">
        <w:rPr>
          <w:rFonts w:ascii="微软雅黑" w:eastAsia="微软雅黑" w:hAnsi="微软雅黑" w:cs="仿宋_GB2312" w:hint="eastAsia"/>
          <w:sz w:val="22"/>
          <w:szCs w:val="22"/>
        </w:rPr>
        <w:t>开采第一款、第二款和第三款规定以外的矿产资源的管理办法，由省、自治区、直辖市人民代表大会常务委员会依法制定。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依照第三款、第四款的规定审批和颁发采矿许可证的，由省、自治区、直辖市人民政府地质矿产主管部门汇总向国务院地质</w:t>
      </w:r>
      <w:r w:rsidRPr="00C619CD">
        <w:rPr>
          <w:rFonts w:ascii="微软雅黑" w:eastAsia="微软雅黑" w:hAnsi="微软雅黑" w:cs="仿宋_GB2312" w:hint="eastAsia"/>
          <w:sz w:val="22"/>
          <w:szCs w:val="22"/>
        </w:rPr>
        <w:t>矿产主管部门备案。</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矿产储量规模的大型、中型的划分标准，由国务院矿产储量审批机构规定。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第十七</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国家对国家规划矿区、对国民经济具有重要价值的矿区和国家规定实行保护性开采的特定矿种，实行有计划的开采；未经国务院有关主管部门批准，任何单位和个人不得开采。</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第十八</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国家规划矿区的范围、对国民经济具有重要价值的矿区的范围、矿山企业矿区的范围依法划定后，由划定矿区范围的主管机关通知有关县级人民政府予以公告。</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矿山企业变更矿区范围，必须报请原审批机关批准，并报请原颁发采矿许可证的机关重新核发采矿许可</w:t>
      </w:r>
      <w:r w:rsidRPr="00C619CD">
        <w:rPr>
          <w:rFonts w:ascii="微软雅黑" w:eastAsia="微软雅黑" w:hAnsi="微软雅黑" w:cs="仿宋_GB2312" w:hint="eastAsia"/>
          <w:sz w:val="22"/>
          <w:szCs w:val="22"/>
        </w:rPr>
        <w:t>证。</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第十九</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地方各级人民政府应当采取措施，维护本行政区域内的国有矿山企业和其他矿山企业矿区范围内的正常秩序。</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仿宋_GB2312" w:hint="eastAsia"/>
          <w:sz w:val="22"/>
          <w:szCs w:val="22"/>
        </w:rPr>
        <w:t>禁止任何单位和个人进入他人依法设立的国有矿山企业和其他矿山企业矿区范围内采矿。</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非经国务院授权的有关主管部门同意，不得在下列地区开采矿产资源：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（一）港口、机场、国防工程设施圈定地区以内；</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（二）重要工业区、大型水利工程设施、城镇市政工程设施附近一定距离以内；</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（三）铁路、重要公路两侧一定距离以内；</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（四）重要河流、堤坝两侧一定距离以内；</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（五）国家划定</w:t>
      </w:r>
      <w:r w:rsidRPr="00C619CD">
        <w:rPr>
          <w:rFonts w:ascii="微软雅黑" w:eastAsia="微软雅黑" w:hAnsi="微软雅黑" w:cs="仿宋_GB2312" w:hint="eastAsia"/>
          <w:sz w:val="22"/>
          <w:szCs w:val="22"/>
        </w:rPr>
        <w:t>的自然保护区、重要风景区，国家重点保护的不能移动的历史文物和名胜古迹所在地；</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（六）国家规定不得开采矿产资源的其他地区。</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第二十一</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关闭矿山，必须提出矿山闭坑报告及有关采掘工程、不安全隐患、土地复垦利用、环境保护的资料，并按照国家规定报请审查批准。</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勘查、开采矿产资源时，发现具有重大科学文化价值的罕见地质现象以及文化古迹，应当加以保护并及时报告有关部门。</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第三章　矿产资源的勘查</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黑体" w:hint="eastAsia"/>
          <w:sz w:val="22"/>
          <w:szCs w:val="22"/>
        </w:rPr>
        <w:t xml:space="preserve">　　第二十三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区域地质调查按照国家统一规划进行。区域地质调查的报告和图件按照国家规定验收，提供有关部门使用。</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第二十四</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矿产资源普查在完成主要矿种普查任务的同时，应当对工作区内包括共生或者伴生矿产的成矿地质条件和矿床工业远景作出初步综合评价。</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第二十五</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矿床勘探必须对矿区内具有工业价值的共生和伴生矿产进行综合评价，并计算其储量。未作综合评价的勘探报告不予批准。但是，国务院计划部门另有规定的矿床勘探项目除外。</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第二十六</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普查、勘探易损坏的特种非金属矿产、流体矿产、易燃易爆易溶矿产和含有放射性元素的矿产，</w:t>
      </w:r>
      <w:r w:rsidRPr="00C619CD">
        <w:rPr>
          <w:rFonts w:ascii="微软雅黑" w:eastAsia="微软雅黑" w:hAnsi="微软雅黑" w:cs="仿宋_GB2312" w:hint="eastAsia"/>
          <w:sz w:val="22"/>
          <w:szCs w:val="22"/>
        </w:rPr>
        <w:t>必须采用省级以上人民政府有关主管部门规定的普查、勘探方法，并有必要的技术装备和安全措施。</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第二十七</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矿产资源勘查的原始地质编录和图件，岩矿心、测试样品和其他实物标本资料，各种勘查标志，应当按照有关规定保护和保存。</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第二十八</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矿床勘探报告及其他有价值的勘查资料，按照国务院规定实行有偿使用。</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第四章　矿产资源的开采</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第二十九</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开采矿产资源，必须采取合理的开采顺序、开采方法和选矿工艺。矿山企业的开采回采率、</w:t>
      </w:r>
      <w:r w:rsidRPr="00C619CD">
        <w:rPr>
          <w:rFonts w:ascii="微软雅黑" w:eastAsia="微软雅黑" w:hAnsi="微软雅黑" w:cs="仿宋_GB2312" w:hint="eastAsia"/>
          <w:sz w:val="22"/>
          <w:szCs w:val="22"/>
        </w:rPr>
        <w:lastRenderedPageBreak/>
        <w:t>采矿贫化率和选矿回收率应当达到设计要求。</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第三十一</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开采矿产资源，必须遵守国家劳动安全卫生规定，具备保障安全生产的必要条件。</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开采矿产资源，必须遵守有关环境保护的法律规定，防止污染环境。</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开采矿产资源，应当节约用地。耕地、草原、林地因采矿受到破坏的，矿山企业应当因地制宜地采取复垦利用、植树种草或者其他利用</w:t>
      </w:r>
      <w:r w:rsidRPr="00C619CD">
        <w:rPr>
          <w:rFonts w:ascii="微软雅黑" w:eastAsia="微软雅黑" w:hAnsi="微软雅黑" w:cs="仿宋_GB2312" w:hint="eastAsia"/>
          <w:sz w:val="22"/>
          <w:szCs w:val="22"/>
        </w:rPr>
        <w:t>措施。</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开采矿产资源给他人生产、生活造成损失的，应当负责赔偿，并采取必要的补救措施。</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第三十四</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国务院规定由指定的单位统一收购的矿产品，任何其他单位或者个人不得收购；开采者不得向非指定单位销售。</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第五章　集体矿山企业和个体采矿</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第三十五</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矿产储量规模适宜由矿山企业开采的矿产资源、国家规定实行保护性开采的特定矿种和国家规定禁止个人开采的其他矿产资源，个人不得开采。</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国家指导、帮助集体矿山企业和个体采矿不断提高技术水平、资源利用率和经济效益。</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地质矿产主管部门、地质工作单位和国有矿山企业应当按照积极支持、有偿互惠的原则向</w:t>
      </w:r>
      <w:r w:rsidRPr="00C619CD">
        <w:rPr>
          <w:rFonts w:ascii="微软雅黑" w:eastAsia="微软雅黑" w:hAnsi="微软雅黑" w:cs="仿宋_GB2312" w:hint="eastAsia"/>
          <w:sz w:val="22"/>
          <w:szCs w:val="22"/>
        </w:rPr>
        <w:t>集体矿山企业和个体采矿提供地质资料和技术服务。</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第三十六</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国务院和国务院有关主管部门批准开办的矿山企业矿区范围内已有的集体矿山企业，应当关闭或者到指定的其他地点开采，由矿山建设单位给予合理的补偿，并妥善安置群众生活；也可以按照该矿山企业的统筹安排，实行联合经营。</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第三十七</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集体矿山企业和个体采矿应当提高技术水平，提高矿产资源回收率。禁止乱挖滥采，破坏矿产资源。</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集体矿山企业必须测绘井上、井下工程对照图。</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第三十八</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县级以上人民政府应当指导、帮助集体矿山企业和个体采矿进行技术改造，改善经营管</w:t>
      </w:r>
      <w:r w:rsidRPr="00C619CD">
        <w:rPr>
          <w:rFonts w:ascii="微软雅黑" w:eastAsia="微软雅黑" w:hAnsi="微软雅黑" w:cs="仿宋_GB2312" w:hint="eastAsia"/>
          <w:sz w:val="22"/>
          <w:szCs w:val="22"/>
        </w:rPr>
        <w:t>理，加强安全生产。</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第六章</w:t>
      </w:r>
      <w:r w:rsidRPr="00C619CD">
        <w:rPr>
          <w:rFonts w:ascii="微软雅黑" w:eastAsia="微软雅黑" w:hAnsi="微软雅黑" w:cs="黑体" w:hint="eastAsia"/>
          <w:sz w:val="22"/>
          <w:szCs w:val="22"/>
        </w:rPr>
        <w:t xml:space="preserve">　</w:t>
      </w:r>
      <w:r w:rsidRPr="00C619CD">
        <w:rPr>
          <w:rFonts w:ascii="微软雅黑" w:eastAsia="微软雅黑" w:hAnsi="微软雅黑" w:cs="黑体" w:hint="eastAsia"/>
          <w:sz w:val="22"/>
          <w:szCs w:val="22"/>
        </w:rPr>
        <w:t>法律责任</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第三十九</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单位和个人进入他人依法设立的国有矿山企业和其他矿山企业矿区范围内采矿的，依照前款规定处罚。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第四十一</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买卖、出租或者以其他形式转让矿产资源的，没收违法所得，处以</w:t>
      </w:r>
      <w:r w:rsidRPr="00C619CD">
        <w:rPr>
          <w:rFonts w:ascii="微软雅黑" w:eastAsia="微软雅黑" w:hAnsi="微软雅黑" w:cs="仿宋_GB2312" w:hint="eastAsia"/>
          <w:sz w:val="22"/>
          <w:szCs w:val="22"/>
        </w:rPr>
        <w:t>罚款。</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违反本法第六条的规定将探矿权、采矿权倒卖牟利的，吊销勘查许可证、采矿许可证，没收违法所得，处以罚款。</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违反本法规定收购和销售国家统一收购的矿产品的，没收矿产品和违法所得，可以并处罚款；情节严重的，依照刑法有关规定，追究刑事责任。</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第四十四</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违反本法规定，采取破坏性的开采方法开采矿产资源的，处以罚款，可以吊销采矿许可证；造成矿产资源严重破坏的，依照刑法有关规定对直接责任人员追究刑事责任。</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第四十五</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依照第三十九条、第四十条、第四十二条、第四十四条规定应当给予行政处罚而不给予行政处罚的，上级人民政府地质矿产主管部门有权责令改正或者直接给予行政处罚。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第四十六</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当事人对行政处罚决定不服地，可以依法申请复议，也可以依法直接向人民法院起诉。</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当事人逾期不申请复议也不向人民法院起诉，又不履行处罚决定的，由作出处罚决定的机关申请人民法院强制执行。</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lastRenderedPageBreak/>
        <w:t xml:space="preserve">　　</w:t>
      </w:r>
      <w:r w:rsidRPr="00C619CD">
        <w:rPr>
          <w:rFonts w:ascii="微软雅黑" w:eastAsia="微软雅黑" w:hAnsi="微软雅黑" w:cs="黑体" w:hint="eastAsia"/>
          <w:sz w:val="22"/>
          <w:szCs w:val="22"/>
        </w:rPr>
        <w:t>第四十七</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w:t>
      </w:r>
      <w:r w:rsidRPr="00C619CD">
        <w:rPr>
          <w:rFonts w:ascii="微软雅黑" w:eastAsia="微软雅黑" w:hAnsi="微软雅黑" w:cs="仿宋_GB2312" w:hint="eastAsia"/>
          <w:sz w:val="22"/>
          <w:szCs w:val="22"/>
        </w:rPr>
        <w:t>政府地质矿产主管部门有权予以撤销。</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第四十八</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以暴力、威胁方法阻碍从事矿产资源勘查、开采监督管理工作的国家工作人员依法执行职务的，依照刑法有关规定追究刑事责任；拒绝、阻碍从事矿产资源勘查、开采监督管理工作的国家工作人员依法执行职务未使用暴力、威胁方法的，由公安机关依照治安管理处罚法的规定处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第四十九</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矿山企业之间的矿区范围的争议，由当事人协商解决，协商不成的，由有关县级以上地方人民政府根据依法核定的矿区范围处理；跨省、自治区、直辖市的矿区范围的争议，由有关省、自治区、直辖市人民政府协商解决，</w:t>
      </w:r>
      <w:r w:rsidRPr="00C619CD">
        <w:rPr>
          <w:rFonts w:ascii="微软雅黑" w:eastAsia="微软雅黑" w:hAnsi="微软雅黑" w:cs="仿宋_GB2312" w:hint="eastAsia"/>
          <w:sz w:val="22"/>
          <w:szCs w:val="22"/>
        </w:rPr>
        <w:t>协商不成的，由国务院处理。</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jc w:val="center"/>
        <w:rPr>
          <w:rFonts w:ascii="微软雅黑" w:eastAsia="微软雅黑" w:hAnsi="微软雅黑" w:cs="黑体"/>
          <w:sz w:val="22"/>
          <w:szCs w:val="22"/>
        </w:rPr>
      </w:pPr>
      <w:r w:rsidRPr="00C619CD">
        <w:rPr>
          <w:rFonts w:ascii="微软雅黑" w:eastAsia="微软雅黑" w:hAnsi="微软雅黑" w:cs="黑体" w:hint="eastAsia"/>
          <w:sz w:val="22"/>
          <w:szCs w:val="22"/>
        </w:rPr>
        <w:t>第七章　附则</w:t>
      </w:r>
    </w:p>
    <w:p w:rsidR="00CA6DE6" w:rsidRPr="00C619CD" w:rsidRDefault="00CA6DE6" w:rsidP="00C619CD">
      <w:pPr>
        <w:spacing w:line="240" w:lineRule="exact"/>
        <w:rPr>
          <w:rFonts w:ascii="微软雅黑" w:eastAsia="微软雅黑" w:hAnsi="微软雅黑" w:cs="宋体"/>
          <w:sz w:val="22"/>
          <w:szCs w:val="22"/>
        </w:rPr>
      </w:pP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第五十</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外商投资勘查、开采矿产资源，法律、行政法规另有规定的，从其规定。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第五十一</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本法施行以前，未办理批准手续、未划定矿区范围、未取得采矿许可证开采矿产资源的，应当依照本法有关规定申请补办手续。</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第五十二</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本法实施细则由国务院制定。</w:t>
      </w:r>
    </w:p>
    <w:p w:rsidR="00CA6DE6" w:rsidRPr="00C619CD" w:rsidRDefault="00E21C57" w:rsidP="00C619CD">
      <w:pPr>
        <w:spacing w:line="240" w:lineRule="exact"/>
        <w:rPr>
          <w:rFonts w:ascii="微软雅黑" w:eastAsia="微软雅黑" w:hAnsi="微软雅黑" w:cs="仿宋_GB2312"/>
          <w:sz w:val="22"/>
          <w:szCs w:val="22"/>
        </w:rPr>
      </w:pPr>
      <w:r w:rsidRPr="00C619CD">
        <w:rPr>
          <w:rFonts w:ascii="微软雅黑" w:eastAsia="微软雅黑" w:hAnsi="微软雅黑" w:cs="仿宋_GB2312" w:hint="eastAsia"/>
          <w:sz w:val="22"/>
          <w:szCs w:val="22"/>
        </w:rPr>
        <w:t xml:space="preserve">　　</w:t>
      </w:r>
      <w:r w:rsidRPr="00C619CD">
        <w:rPr>
          <w:rFonts w:ascii="微软雅黑" w:eastAsia="微软雅黑" w:hAnsi="微软雅黑" w:cs="黑体" w:hint="eastAsia"/>
          <w:sz w:val="22"/>
          <w:szCs w:val="22"/>
        </w:rPr>
        <w:t>第五十三</w:t>
      </w:r>
      <w:r w:rsidRPr="00C619CD">
        <w:rPr>
          <w:rFonts w:ascii="微软雅黑" w:eastAsia="微软雅黑" w:hAnsi="微软雅黑" w:cs="仿宋_GB2312" w:hint="eastAsia"/>
          <w:sz w:val="22"/>
          <w:szCs w:val="22"/>
        </w:rPr>
        <w:t>条</w:t>
      </w:r>
      <w:r w:rsidRPr="00C619CD">
        <w:rPr>
          <w:rFonts w:ascii="微软雅黑" w:eastAsia="微软雅黑" w:hAnsi="微软雅黑" w:cs="仿宋_GB2312" w:hint="eastAsia"/>
          <w:sz w:val="22"/>
          <w:szCs w:val="22"/>
        </w:rPr>
        <w:t xml:space="preserve">　本法自</w:t>
      </w:r>
      <w:r w:rsidRPr="00C619CD">
        <w:rPr>
          <w:rFonts w:ascii="微软雅黑" w:eastAsia="微软雅黑" w:hAnsi="微软雅黑" w:cs="仿宋_GB2312" w:hint="eastAsia"/>
          <w:sz w:val="22"/>
          <w:szCs w:val="22"/>
        </w:rPr>
        <w:t>1986</w:t>
      </w:r>
      <w:r w:rsidRPr="00C619CD">
        <w:rPr>
          <w:rFonts w:ascii="微软雅黑" w:eastAsia="微软雅黑" w:hAnsi="微软雅黑" w:cs="仿宋_GB2312" w:hint="eastAsia"/>
          <w:sz w:val="22"/>
          <w:szCs w:val="22"/>
        </w:rPr>
        <w:t>年</w:t>
      </w:r>
      <w:r w:rsidRPr="00C619CD">
        <w:rPr>
          <w:rFonts w:ascii="微软雅黑" w:eastAsia="微软雅黑" w:hAnsi="微软雅黑" w:cs="仿宋_GB2312" w:hint="eastAsia"/>
          <w:sz w:val="22"/>
          <w:szCs w:val="22"/>
        </w:rPr>
        <w:t>10</w:t>
      </w:r>
      <w:r w:rsidRPr="00C619CD">
        <w:rPr>
          <w:rFonts w:ascii="微软雅黑" w:eastAsia="微软雅黑" w:hAnsi="微软雅黑" w:cs="仿宋_GB2312" w:hint="eastAsia"/>
          <w:sz w:val="22"/>
          <w:szCs w:val="22"/>
        </w:rPr>
        <w:t>月</w:t>
      </w:r>
      <w:r w:rsidRPr="00C619CD">
        <w:rPr>
          <w:rFonts w:ascii="微软雅黑" w:eastAsia="微软雅黑" w:hAnsi="微软雅黑" w:cs="仿宋_GB2312" w:hint="eastAsia"/>
          <w:sz w:val="22"/>
          <w:szCs w:val="22"/>
        </w:rPr>
        <w:t>1</w:t>
      </w:r>
      <w:r w:rsidRPr="00C619CD">
        <w:rPr>
          <w:rFonts w:ascii="微软雅黑" w:eastAsia="微软雅黑" w:hAnsi="微软雅黑" w:cs="仿宋_GB2312" w:hint="eastAsia"/>
          <w:sz w:val="22"/>
          <w:szCs w:val="22"/>
        </w:rPr>
        <w:t>日施行。</w:t>
      </w:r>
    </w:p>
    <w:sectPr w:rsidR="00CA6DE6" w:rsidRPr="00C619CD" w:rsidSect="00C619C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57" w:rsidRDefault="00E21C57" w:rsidP="00CA6DE6">
      <w:r>
        <w:separator/>
      </w:r>
    </w:p>
  </w:endnote>
  <w:endnote w:type="continuationSeparator" w:id="0">
    <w:p w:rsidR="00E21C57" w:rsidRDefault="00E21C57" w:rsidP="00CA6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E6" w:rsidRDefault="00CA6DE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A6DE6" w:rsidRDefault="00E21C57">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sidR="00CA6DE6">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CA6DE6">
                  <w:rPr>
                    <w:rFonts w:ascii="宋体" w:eastAsia="宋体" w:hAnsi="宋体" w:cs="宋体" w:hint="eastAsia"/>
                    <w:sz w:val="28"/>
                    <w:szCs w:val="28"/>
                  </w:rPr>
                  <w:fldChar w:fldCharType="separate"/>
                </w:r>
                <w:r w:rsidR="00C619CD">
                  <w:rPr>
                    <w:rFonts w:ascii="宋体" w:eastAsia="宋体" w:hAnsi="宋体" w:cs="宋体"/>
                    <w:noProof/>
                    <w:sz w:val="28"/>
                    <w:szCs w:val="28"/>
                  </w:rPr>
                  <w:t>4</w:t>
                </w:r>
                <w:r w:rsidR="00CA6DE6">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E6" w:rsidRDefault="00CA6DE6">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A6DE6" w:rsidRDefault="00E21C57">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CA6DE6">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CA6DE6">
                  <w:rPr>
                    <w:rFonts w:ascii="宋体" w:eastAsia="宋体" w:hAnsi="宋体" w:cs="宋体" w:hint="eastAsia"/>
                    <w:sz w:val="28"/>
                    <w:szCs w:val="28"/>
                  </w:rPr>
                  <w:fldChar w:fldCharType="separate"/>
                </w:r>
                <w:r w:rsidR="00C619CD">
                  <w:rPr>
                    <w:rFonts w:ascii="宋体" w:eastAsia="宋体" w:hAnsi="宋体" w:cs="宋体"/>
                    <w:noProof/>
                    <w:sz w:val="28"/>
                    <w:szCs w:val="28"/>
                  </w:rPr>
                  <w:t>3</w:t>
                </w:r>
                <w:r w:rsidR="00CA6DE6">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57" w:rsidRDefault="00E21C57" w:rsidP="00CA6DE6">
      <w:r>
        <w:separator/>
      </w:r>
    </w:p>
  </w:footnote>
  <w:footnote w:type="continuationSeparator" w:id="0">
    <w:p w:rsidR="00E21C57" w:rsidRDefault="00E21C57" w:rsidP="00CA6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E6" w:rsidRDefault="00CA6DE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E6" w:rsidRDefault="00CA6DE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1005A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5988"/>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619CD"/>
    <w:rsid w:val="00CA6DE6"/>
    <w:rsid w:val="00CE5247"/>
    <w:rsid w:val="00D54AF3"/>
    <w:rsid w:val="00D54B93"/>
    <w:rsid w:val="00D70A89"/>
    <w:rsid w:val="00D76CB4"/>
    <w:rsid w:val="00D84514"/>
    <w:rsid w:val="00DC5C43"/>
    <w:rsid w:val="00DD0B8B"/>
    <w:rsid w:val="00E21C57"/>
    <w:rsid w:val="00E235DD"/>
    <w:rsid w:val="00E550DD"/>
    <w:rsid w:val="00E64956"/>
    <w:rsid w:val="00EE4F6D"/>
    <w:rsid w:val="00F00D39"/>
    <w:rsid w:val="00FA3C68"/>
    <w:rsid w:val="00FC68C1"/>
    <w:rsid w:val="0114612A"/>
    <w:rsid w:val="05754340"/>
    <w:rsid w:val="05791921"/>
    <w:rsid w:val="06505F15"/>
    <w:rsid w:val="08210A6D"/>
    <w:rsid w:val="0B115E15"/>
    <w:rsid w:val="0B957AC8"/>
    <w:rsid w:val="0C4A0C32"/>
    <w:rsid w:val="0C4E6F56"/>
    <w:rsid w:val="0CA9360A"/>
    <w:rsid w:val="0D2F2A95"/>
    <w:rsid w:val="13897E98"/>
    <w:rsid w:val="14B85564"/>
    <w:rsid w:val="15995A00"/>
    <w:rsid w:val="18BE58F5"/>
    <w:rsid w:val="19F86B68"/>
    <w:rsid w:val="19FC1879"/>
    <w:rsid w:val="24D82782"/>
    <w:rsid w:val="24FA630D"/>
    <w:rsid w:val="29B02F2E"/>
    <w:rsid w:val="2AA5267B"/>
    <w:rsid w:val="2E5001DC"/>
    <w:rsid w:val="2E994720"/>
    <w:rsid w:val="2F7753E6"/>
    <w:rsid w:val="3258761C"/>
    <w:rsid w:val="33804543"/>
    <w:rsid w:val="36A02196"/>
    <w:rsid w:val="3A5D56A7"/>
    <w:rsid w:val="3D1A1B85"/>
    <w:rsid w:val="40C32ACC"/>
    <w:rsid w:val="41E6440D"/>
    <w:rsid w:val="44477155"/>
    <w:rsid w:val="44BC0EEC"/>
    <w:rsid w:val="47692B37"/>
    <w:rsid w:val="482A39F4"/>
    <w:rsid w:val="49C77146"/>
    <w:rsid w:val="4B4B7A2E"/>
    <w:rsid w:val="4C0419F1"/>
    <w:rsid w:val="50136C36"/>
    <w:rsid w:val="532B71C6"/>
    <w:rsid w:val="56755F92"/>
    <w:rsid w:val="59D0424A"/>
    <w:rsid w:val="5C094B1A"/>
    <w:rsid w:val="5E0A489B"/>
    <w:rsid w:val="5FA875EF"/>
    <w:rsid w:val="62663FCF"/>
    <w:rsid w:val="62A7695F"/>
    <w:rsid w:val="62C52A52"/>
    <w:rsid w:val="63AC1DAA"/>
    <w:rsid w:val="6501697A"/>
    <w:rsid w:val="653A70E2"/>
    <w:rsid w:val="6701413B"/>
    <w:rsid w:val="69FD024B"/>
    <w:rsid w:val="6C1E17DE"/>
    <w:rsid w:val="6C6D0995"/>
    <w:rsid w:val="6F556051"/>
    <w:rsid w:val="700D6A62"/>
    <w:rsid w:val="702C5F51"/>
    <w:rsid w:val="70B32443"/>
    <w:rsid w:val="710841D5"/>
    <w:rsid w:val="7208691D"/>
    <w:rsid w:val="721D2668"/>
    <w:rsid w:val="72406E3D"/>
    <w:rsid w:val="72B21701"/>
    <w:rsid w:val="741052E8"/>
    <w:rsid w:val="74355E6F"/>
    <w:rsid w:val="7B4B5D0A"/>
    <w:rsid w:val="7CF35360"/>
    <w:rsid w:val="7D3D0CCB"/>
    <w:rsid w:val="7D686817"/>
    <w:rsid w:val="7DD71DE2"/>
    <w:rsid w:val="7DE561FA"/>
    <w:rsid w:val="7E2E337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DE6"/>
    <w:pPr>
      <w:widowControl w:val="0"/>
      <w:jc w:val="both"/>
    </w:pPr>
    <w:rPr>
      <w:rFonts w:eastAsia="仿宋_GB2312"/>
      <w:kern w:val="2"/>
      <w:sz w:val="32"/>
      <w:szCs w:val="24"/>
    </w:rPr>
  </w:style>
  <w:style w:type="paragraph" w:styleId="1">
    <w:name w:val="heading 1"/>
    <w:basedOn w:val="a"/>
    <w:next w:val="a"/>
    <w:link w:val="1Char"/>
    <w:qFormat/>
    <w:rsid w:val="00CA6DE6"/>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CA6DE6"/>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CA6DE6"/>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A6DE6"/>
    <w:pPr>
      <w:shd w:val="clear" w:color="auto" w:fill="000080"/>
    </w:pPr>
  </w:style>
  <w:style w:type="paragraph" w:styleId="a4">
    <w:name w:val="Plain Text"/>
    <w:basedOn w:val="a"/>
    <w:link w:val="Char"/>
    <w:uiPriority w:val="99"/>
    <w:unhideWhenUsed/>
    <w:qFormat/>
    <w:rsid w:val="00CA6DE6"/>
    <w:rPr>
      <w:rFonts w:ascii="宋体" w:eastAsia="宋体" w:hAnsi="Courier New"/>
      <w:sz w:val="21"/>
      <w:szCs w:val="21"/>
      <w:lang/>
    </w:rPr>
  </w:style>
  <w:style w:type="paragraph" w:styleId="a5">
    <w:name w:val="Balloon Text"/>
    <w:basedOn w:val="a"/>
    <w:semiHidden/>
    <w:qFormat/>
    <w:rsid w:val="00CA6DE6"/>
    <w:rPr>
      <w:sz w:val="18"/>
      <w:szCs w:val="18"/>
    </w:rPr>
  </w:style>
  <w:style w:type="paragraph" w:styleId="a6">
    <w:name w:val="footer"/>
    <w:basedOn w:val="a"/>
    <w:link w:val="Char0"/>
    <w:uiPriority w:val="99"/>
    <w:qFormat/>
    <w:rsid w:val="00CA6DE6"/>
    <w:pPr>
      <w:tabs>
        <w:tab w:val="center" w:pos="4153"/>
        <w:tab w:val="right" w:pos="8306"/>
      </w:tabs>
      <w:snapToGrid w:val="0"/>
      <w:jc w:val="left"/>
    </w:pPr>
    <w:rPr>
      <w:sz w:val="18"/>
      <w:szCs w:val="18"/>
      <w:lang/>
    </w:rPr>
  </w:style>
  <w:style w:type="paragraph" w:styleId="a7">
    <w:name w:val="header"/>
    <w:basedOn w:val="a"/>
    <w:link w:val="Char1"/>
    <w:uiPriority w:val="99"/>
    <w:qFormat/>
    <w:rsid w:val="00CA6DE6"/>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CA6DE6"/>
  </w:style>
  <w:style w:type="paragraph" w:styleId="a8">
    <w:name w:val="Subtitle"/>
    <w:basedOn w:val="a"/>
    <w:next w:val="a"/>
    <w:link w:val="Char2"/>
    <w:qFormat/>
    <w:rsid w:val="00CA6DE6"/>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CA6DE6"/>
    <w:pPr>
      <w:ind w:leftChars="200" w:left="420"/>
    </w:pPr>
  </w:style>
  <w:style w:type="paragraph" w:styleId="a9">
    <w:name w:val="Title"/>
    <w:basedOn w:val="a"/>
    <w:next w:val="a"/>
    <w:link w:val="Char3"/>
    <w:qFormat/>
    <w:rsid w:val="00CA6DE6"/>
    <w:pPr>
      <w:spacing w:before="240" w:after="60"/>
      <w:jc w:val="center"/>
      <w:outlineLvl w:val="0"/>
    </w:pPr>
    <w:rPr>
      <w:rFonts w:ascii="Cambria" w:eastAsia="宋体" w:hAnsi="Cambria"/>
      <w:b/>
      <w:bCs/>
      <w:szCs w:val="32"/>
      <w:lang/>
    </w:rPr>
  </w:style>
  <w:style w:type="character" w:styleId="aa">
    <w:name w:val="Strong"/>
    <w:qFormat/>
    <w:rsid w:val="00CA6DE6"/>
    <w:rPr>
      <w:b/>
      <w:bCs/>
    </w:rPr>
  </w:style>
  <w:style w:type="character" w:styleId="ab">
    <w:name w:val="page number"/>
    <w:basedOn w:val="a0"/>
    <w:qFormat/>
    <w:rsid w:val="00CA6DE6"/>
  </w:style>
  <w:style w:type="character" w:styleId="ac">
    <w:name w:val="FollowedHyperlink"/>
    <w:qFormat/>
    <w:rsid w:val="00CA6DE6"/>
    <w:rPr>
      <w:color w:val="800080"/>
      <w:u w:val="single"/>
    </w:rPr>
  </w:style>
  <w:style w:type="character" w:styleId="ad">
    <w:name w:val="Emphasis"/>
    <w:qFormat/>
    <w:rsid w:val="00CA6DE6"/>
    <w:rPr>
      <w:i/>
      <w:iCs/>
    </w:rPr>
  </w:style>
  <w:style w:type="character" w:styleId="ae">
    <w:name w:val="Hyperlink"/>
    <w:uiPriority w:val="99"/>
    <w:qFormat/>
    <w:rsid w:val="00CA6DE6"/>
    <w:rPr>
      <w:rFonts w:ascii="ˎ̥" w:hAnsi="ˎ̥" w:hint="default"/>
      <w:color w:val="0404B3"/>
      <w:sz w:val="18"/>
      <w:szCs w:val="18"/>
      <w:u w:val="none"/>
    </w:rPr>
  </w:style>
  <w:style w:type="table" w:styleId="af">
    <w:name w:val="Table Grid"/>
    <w:basedOn w:val="a1"/>
    <w:qFormat/>
    <w:rsid w:val="00CA6D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CA6DE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A6DE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A6DE6"/>
    <w:rPr>
      <w:rFonts w:eastAsia="仿宋_GB2312"/>
      <w:kern w:val="2"/>
      <w:sz w:val="18"/>
      <w:szCs w:val="18"/>
    </w:rPr>
  </w:style>
  <w:style w:type="character" w:customStyle="1" w:styleId="Char">
    <w:name w:val="纯文本 Char"/>
    <w:link w:val="a4"/>
    <w:uiPriority w:val="99"/>
    <w:qFormat/>
    <w:rsid w:val="00CA6DE6"/>
    <w:rPr>
      <w:rFonts w:ascii="宋体" w:hAnsi="Courier New" w:cs="Courier New"/>
      <w:kern w:val="2"/>
      <w:sz w:val="21"/>
      <w:szCs w:val="21"/>
    </w:rPr>
  </w:style>
  <w:style w:type="character" w:customStyle="1" w:styleId="Char10">
    <w:name w:val="纯文本 Char1"/>
    <w:qFormat/>
    <w:rsid w:val="00CA6DE6"/>
    <w:rPr>
      <w:rFonts w:ascii="宋体" w:hAnsi="Courier New" w:cs="Courier New"/>
      <w:kern w:val="2"/>
      <w:sz w:val="21"/>
      <w:szCs w:val="21"/>
    </w:rPr>
  </w:style>
  <w:style w:type="character" w:customStyle="1" w:styleId="Char2">
    <w:name w:val="副标题 Char"/>
    <w:link w:val="a8"/>
    <w:qFormat/>
    <w:rsid w:val="00CA6DE6"/>
    <w:rPr>
      <w:rFonts w:ascii="Cambria" w:hAnsi="Cambria" w:cs="Times New Roman"/>
      <w:b/>
      <w:bCs/>
      <w:kern w:val="28"/>
      <w:sz w:val="32"/>
      <w:szCs w:val="32"/>
    </w:rPr>
  </w:style>
  <w:style w:type="character" w:customStyle="1" w:styleId="1Char">
    <w:name w:val="标题 1 Char"/>
    <w:link w:val="1"/>
    <w:qFormat/>
    <w:rsid w:val="00CA6DE6"/>
    <w:rPr>
      <w:rFonts w:eastAsia="仿宋_GB2312"/>
      <w:b/>
      <w:bCs/>
      <w:kern w:val="44"/>
      <w:sz w:val="44"/>
      <w:szCs w:val="44"/>
    </w:rPr>
  </w:style>
  <w:style w:type="character" w:customStyle="1" w:styleId="Char3">
    <w:name w:val="标题 Char"/>
    <w:link w:val="a9"/>
    <w:qFormat/>
    <w:rsid w:val="00CA6DE6"/>
    <w:rPr>
      <w:rFonts w:ascii="Cambria" w:hAnsi="Cambria" w:cs="Times New Roman"/>
      <w:b/>
      <w:bCs/>
      <w:kern w:val="2"/>
      <w:sz w:val="32"/>
      <w:szCs w:val="32"/>
    </w:rPr>
  </w:style>
  <w:style w:type="character" w:customStyle="1" w:styleId="11Char">
    <w:name w:val="1.1 Char"/>
    <w:link w:val="11"/>
    <w:qFormat/>
    <w:rsid w:val="00CA6DE6"/>
    <w:rPr>
      <w:rFonts w:ascii="Calibri" w:hAnsi="Calibri"/>
      <w:b/>
      <w:bCs/>
      <w:kern w:val="2"/>
      <w:sz w:val="30"/>
      <w:szCs w:val="32"/>
    </w:rPr>
  </w:style>
  <w:style w:type="character" w:customStyle="1" w:styleId="3Char">
    <w:name w:val="标题 3 Char"/>
    <w:link w:val="3"/>
    <w:semiHidden/>
    <w:qFormat/>
    <w:rsid w:val="00CA6DE6"/>
    <w:rPr>
      <w:rFonts w:eastAsia="仿宋_GB2312"/>
      <w:b/>
      <w:bCs/>
      <w:kern w:val="2"/>
      <w:sz w:val="32"/>
      <w:szCs w:val="32"/>
    </w:rPr>
  </w:style>
  <w:style w:type="character" w:customStyle="1" w:styleId="2Char">
    <w:name w:val="标题 2 Char"/>
    <w:link w:val="2"/>
    <w:uiPriority w:val="9"/>
    <w:qFormat/>
    <w:rsid w:val="00CA6DE6"/>
    <w:rPr>
      <w:rFonts w:ascii="Cambria" w:hAnsi="Cambria"/>
      <w:b/>
      <w:bCs/>
      <w:kern w:val="2"/>
      <w:sz w:val="32"/>
      <w:szCs w:val="32"/>
    </w:rPr>
  </w:style>
  <w:style w:type="character" w:customStyle="1" w:styleId="Char0">
    <w:name w:val="页脚 Char"/>
    <w:link w:val="a6"/>
    <w:uiPriority w:val="99"/>
    <w:qFormat/>
    <w:rsid w:val="00CA6DE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5345</Characters>
  <Application>Microsoft Office Word</Application>
  <DocSecurity>0</DocSecurity>
  <Lines>44</Lines>
  <Paragraphs>12</Paragraphs>
  <ScaleCrop>false</ScaleCrop>
  <Company>Lenovo</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